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8D6" w:rsidRPr="009B2788" w:rsidRDefault="009B2788" w:rsidP="009B2788">
      <w:pPr>
        <w:pStyle w:val="Heading1"/>
      </w:pPr>
      <w:r w:rsidRPr="009B2788">
        <w:fldChar w:fldCharType="begin"/>
      </w:r>
      <w:r w:rsidRPr="009B2788">
        <w:instrText xml:space="preserve"> MACROBUTTON NUMBERING </w:instrText>
      </w:r>
      <w:r w:rsidRPr="009B2788">
        <w:fldChar w:fldCharType="begin"/>
      </w:r>
      <w:r w:rsidRPr="009B2788">
        <w:instrText xml:space="preserve"> SEQ  cpara \h \r 0</w:instrText>
      </w:r>
      <w:r w:rsidRPr="009B2788">
        <w:fldChar w:fldCharType="end"/>
      </w:r>
      <w:r w:rsidRPr="009B2788">
        <w:fldChar w:fldCharType="begin"/>
      </w:r>
      <w:r w:rsidRPr="009B2788">
        <w:instrText xml:space="preserve"> SEQ  ccount \h</w:instrText>
      </w:r>
      <w:r w:rsidRPr="009B2788">
        <w:fldChar w:fldCharType="end"/>
      </w:r>
      <w:r w:rsidRPr="009B2788">
        <w:fldChar w:fldCharType="end"/>
      </w:r>
      <w:r w:rsidR="00C70449" w:rsidRPr="009B2788">
        <w:t xml:space="preserve"> </w:t>
      </w:r>
      <w:r w:rsidR="00244644" w:rsidRPr="004639E4">
        <w:t xml:space="preserve">Researchers as a </w:t>
      </w:r>
      <w:r w:rsidR="00244644">
        <w:t>percentage of total employment</w:t>
      </w:r>
      <w:r w:rsidRPr="009B2788">
        <w:t xml:space="preserve"> </w:t>
      </w:r>
      <w:r w:rsidR="00DC65ED" w:rsidRPr="009B2788">
        <w:t xml:space="preserve"> </w:t>
      </w:r>
    </w:p>
    <w:p w:rsidR="00A51CE3" w:rsidRDefault="00A51CE3" w:rsidP="00A51CE3">
      <w:pPr>
        <w:pStyle w:val="Heading3"/>
      </w:pPr>
      <w:r>
        <w:t>Goal and targets addressed</w:t>
      </w:r>
    </w:p>
    <w:p w:rsidR="001B6093" w:rsidRPr="001B6093" w:rsidRDefault="001B6093" w:rsidP="009B53AC">
      <w:pPr>
        <w:pStyle w:val="BodyText"/>
      </w:pPr>
      <w:r w:rsidRPr="001B6093">
        <w:rPr>
          <w:bCs/>
        </w:rPr>
        <w:t>Goal 9</w:t>
      </w:r>
      <w:r w:rsidRPr="001B6093">
        <w:t>:</w:t>
      </w:r>
      <w:r w:rsidRPr="001B6093">
        <w:rPr>
          <w:bCs/>
        </w:rPr>
        <w:t xml:space="preserve"> </w:t>
      </w:r>
      <w:r w:rsidRPr="001B6093">
        <w:t>Build resilient infrastructure, promote inclusive and sustainable industrialization and foster innovation</w:t>
      </w:r>
    </w:p>
    <w:p w:rsidR="009B53AC" w:rsidRPr="001B6093" w:rsidRDefault="001B6093" w:rsidP="009B53AC">
      <w:pPr>
        <w:pStyle w:val="BodyText"/>
      </w:pPr>
      <w:r w:rsidRPr="001B6093">
        <w:t>Target 9.5</w:t>
      </w:r>
      <w:r w:rsidR="00566B6A">
        <w:t>:</w:t>
      </w:r>
      <w:r w:rsidRPr="001B6093">
        <w:t xml:space="preserve"> Enhance scientific research, upgrade the technological capabilities of industrial sectors in all countries, in particular developing countries, including, by 2030, encouraging innovation and increasing the number of research and development workers per 1 million people by [x] per cent and public and private research and development spending. </w:t>
      </w:r>
    </w:p>
    <w:p w:rsidR="00465AEA" w:rsidRPr="005577FA" w:rsidRDefault="00465AEA" w:rsidP="003448D6">
      <w:pPr>
        <w:pStyle w:val="Heading3"/>
      </w:pPr>
      <w:r w:rsidRPr="005577FA">
        <w:t>Indicators</w:t>
      </w:r>
    </w:p>
    <w:p w:rsidR="00572A23" w:rsidRDefault="00566B6A" w:rsidP="00572A23">
      <w:pPr>
        <w:pStyle w:val="BodyText"/>
      </w:pPr>
      <w:r>
        <w:t>Researchers as percentage of total employment</w:t>
      </w:r>
    </w:p>
    <w:p w:rsidR="003448D6" w:rsidRPr="00572A23" w:rsidRDefault="003448D6" w:rsidP="00572A23">
      <w:pPr>
        <w:pStyle w:val="Heading3"/>
      </w:pPr>
      <w:r w:rsidRPr="00572A23">
        <w:t>Definition and method of computation</w:t>
      </w:r>
    </w:p>
    <w:p w:rsidR="00566B6A" w:rsidRDefault="00566B6A" w:rsidP="00566B6A">
      <w:pPr>
        <w:pStyle w:val="ListBullet"/>
      </w:pPr>
      <w:r>
        <w:t xml:space="preserve">The indicator is defined as the number of researchers over total employment in a given country or territory. </w:t>
      </w:r>
    </w:p>
    <w:p w:rsidR="00566B6A" w:rsidRPr="007624F0" w:rsidRDefault="00566B6A" w:rsidP="00566B6A">
      <w:pPr>
        <w:pStyle w:val="ListBullet"/>
      </w:pPr>
      <w:r>
        <w:t xml:space="preserve">The estimated total number of researchers captures a specific group of </w:t>
      </w:r>
      <w:r w:rsidRPr="00E8636B">
        <w:t>individuals</w:t>
      </w:r>
      <w:r>
        <w:t xml:space="preserve"> contributing to the performance of R&amp;D within a reference year. </w:t>
      </w:r>
      <w:r w:rsidRPr="004D67A9">
        <w:rPr>
          <w:b/>
        </w:rPr>
        <w:t>Researchers</w:t>
      </w:r>
      <w:r w:rsidRPr="007624F0">
        <w:t xml:space="preserve"> are professionals engaged in the conception or creation of new knowledge. They conduct research and improve or develop concepts, theories, models, techniques instrumentation, software or operational methods</w:t>
      </w:r>
      <w:r>
        <w:t xml:space="preserve"> (OECD, 2002)</w:t>
      </w:r>
      <w:r w:rsidRPr="007624F0">
        <w:t>.</w:t>
      </w:r>
      <w:r>
        <w:t xml:space="preserve"> </w:t>
      </w:r>
    </w:p>
    <w:p w:rsidR="00566B6A" w:rsidRPr="0008704D" w:rsidRDefault="00566B6A" w:rsidP="00566B6A">
      <w:pPr>
        <w:pStyle w:val="ListBullet"/>
      </w:pPr>
      <w:r>
        <w:t xml:space="preserve">Data on researchers are preferably captured and represented in full-time equivalent (FTE) units, the recommended measurement unit according to the guidelines in the OECD Frascati Manual developed by the OECD Working Party of National Experts on Science and Technology Indicators (NESTI). For example, a person working half-time on R&amp;D during the course of a given year is counted as 0.5 person year in FTE. FTE data are in principle a more accurate measure of the volume of human resources devoted to research in a country than headcounts or jobs. </w:t>
      </w:r>
    </w:p>
    <w:p w:rsidR="003448D6" w:rsidRPr="001B6093" w:rsidRDefault="003448D6" w:rsidP="001B6093">
      <w:pPr>
        <w:pStyle w:val="Heading3"/>
      </w:pPr>
      <w:r w:rsidRPr="001B6093">
        <w:t>Rationale and interpretation</w:t>
      </w:r>
    </w:p>
    <w:p w:rsidR="00566B6A" w:rsidRDefault="00566B6A" w:rsidP="00566B6A">
      <w:pPr>
        <w:pStyle w:val="ListBullet"/>
      </w:pPr>
      <w:r>
        <w:t xml:space="preserve">The indicator is a measure of economies’ efforts in terms of human resources devoted to R&amp;D. It focuses on researchers, the creative workers whose engagement is necessary for a given project to meet the criteria for it to be described as research and experimental development. </w:t>
      </w:r>
    </w:p>
    <w:p w:rsidR="00566B6A" w:rsidRPr="004D67A9" w:rsidRDefault="00566B6A" w:rsidP="00566B6A">
      <w:pPr>
        <w:pStyle w:val="ListBullet"/>
      </w:pPr>
      <w:r w:rsidRPr="004D67A9">
        <w:t xml:space="preserve">In addition to researchers, other categories of R&amp;D personnel captured in R&amp;D statistics include technicians (and equivalent staff), who contribute to R&amp;D by performing scientific and technical tasks, and other supporting staff. </w:t>
      </w:r>
    </w:p>
    <w:p w:rsidR="00566B6A" w:rsidRDefault="00566B6A" w:rsidP="00566B6A">
      <w:pPr>
        <w:pStyle w:val="ListBullet"/>
      </w:pPr>
      <w:r>
        <w:lastRenderedPageBreak/>
        <w:t xml:space="preserve">The indicator is a complementary measurement to gauge </w:t>
      </w:r>
      <w:r w:rsidRPr="008F0ADB">
        <w:t>countries’ innovative efforts</w:t>
      </w:r>
      <w:r>
        <w:t xml:space="preserve"> on the input side, as the widely-used GERD-to-GDP ratio. </w:t>
      </w:r>
      <w:r w:rsidRPr="0091148E">
        <w:t>See</w:t>
      </w:r>
      <w:r w:rsidRPr="00111997">
        <w:t xml:space="preserve"> </w:t>
      </w:r>
      <w:r w:rsidRPr="0091148E">
        <w:t>indicator on</w:t>
      </w:r>
      <w:r w:rsidRPr="00111997">
        <w:t xml:space="preserve"> Gross expenditure in R&amp;D (GERD) as a percentage of GDP</w:t>
      </w:r>
      <w:r>
        <w:t xml:space="preserve">. This indicator addresses policy makers’ interest in the extent which their country’s workforce is directly engaged in R&amp;D knowledge building activities, as a measure of R&amp;D capability. </w:t>
      </w:r>
    </w:p>
    <w:p w:rsidR="00566B6A" w:rsidRPr="00165129" w:rsidRDefault="00566B6A" w:rsidP="00566B6A">
      <w:pPr>
        <w:pStyle w:val="ListBullet"/>
      </w:pPr>
      <w:r>
        <w:t>The normalisation by total employment allows the comparison between economies of different sizes.</w:t>
      </w:r>
    </w:p>
    <w:p w:rsidR="003448D6" w:rsidRPr="006D7BE0" w:rsidRDefault="003448D6" w:rsidP="006D7BE0">
      <w:pPr>
        <w:pStyle w:val="Heading3"/>
      </w:pPr>
      <w:r w:rsidRPr="006D7BE0">
        <w:t>Sources and data collection</w:t>
      </w:r>
    </w:p>
    <w:p w:rsidR="00566B6A" w:rsidRPr="00272330" w:rsidRDefault="00566B6A" w:rsidP="00566B6A">
      <w:pPr>
        <w:pStyle w:val="BodyText"/>
      </w:pPr>
      <w:r w:rsidRPr="004639E4">
        <w:t xml:space="preserve">The </w:t>
      </w:r>
      <w:r>
        <w:t xml:space="preserve">primary </w:t>
      </w:r>
      <w:r w:rsidRPr="004639E4">
        <w:t>data are obtained through statistical surveys which are regularly conducted at national level covering R&amp;D performing entities in the private and public sectors.</w:t>
      </w:r>
      <w:r>
        <w:t xml:space="preserve"> The collection and reporting of R&amp;D data is carried out according to the guidelines in the OECD Frascati Manual developed by the OECD Working Party of National Experts on Science and Technology Indicators. This OECD standard has been adopted by the UNESCO Institute for Statistics, and also features in the statistical legislation of several countries and the European Union.</w:t>
      </w:r>
    </w:p>
    <w:p w:rsidR="003448D6" w:rsidRPr="008843E0" w:rsidRDefault="00F26470" w:rsidP="00F726EB">
      <w:pPr>
        <w:pStyle w:val="Heading3"/>
      </w:pPr>
      <w:r>
        <w:t xml:space="preserve"> </w:t>
      </w:r>
      <w:r w:rsidR="003448D6" w:rsidRPr="008843E0">
        <w:t>Disaggregation</w:t>
      </w:r>
    </w:p>
    <w:p w:rsidR="00566B6A" w:rsidRPr="00CF1C95" w:rsidRDefault="00566B6A" w:rsidP="00566B6A">
      <w:pPr>
        <w:pStyle w:val="BodyText"/>
      </w:pPr>
      <w:r>
        <w:t xml:space="preserve">The indicator (numerator part) can be disaggregated by broad sector of researcher affiliation (business, higher education, government and private non-profit) as well as by </w:t>
      </w:r>
      <w:r w:rsidRPr="00CF1C95">
        <w:t>gender, qualification (ISCED categories) and field of science.</w:t>
      </w:r>
    </w:p>
    <w:p w:rsidR="003414EC" w:rsidRDefault="00F26470" w:rsidP="00F26470">
      <w:pPr>
        <w:pStyle w:val="Heading3"/>
      </w:pPr>
      <w:r>
        <w:t xml:space="preserve"> </w:t>
      </w:r>
      <w:r w:rsidR="003414EC">
        <w:t>Comments and limitations</w:t>
      </w:r>
    </w:p>
    <w:p w:rsidR="00566B6A" w:rsidRDefault="00566B6A" w:rsidP="00566B6A">
      <w:pPr>
        <w:pStyle w:val="ListBullet"/>
      </w:pPr>
      <w:r>
        <w:t>As noted in the case of the GERD to GDP indicator, this is not a measure of innovation output or outcomes but an input measure that focuses on a major component of knowledge building efforts.</w:t>
      </w:r>
    </w:p>
    <w:p w:rsidR="00566B6A" w:rsidRPr="00111997" w:rsidRDefault="00566B6A" w:rsidP="00566B6A">
      <w:pPr>
        <w:pStyle w:val="ListBullet"/>
      </w:pPr>
      <w:r w:rsidRPr="00111997">
        <w:t xml:space="preserve">Primary data on researchers are collected from institutions performing R&amp;D, not the individuals themselves because occupational classifications used in household surveys do not fully match the concept of R&amp;D personnel and researchers. The primary collection of R&amp;D personnel data can be challenging because human resource records are not always linked to R&amp;D financial data. R&amp;D surveys are unique in the level of detailed information requested on the workforce of organisations. </w:t>
      </w:r>
    </w:p>
    <w:p w:rsidR="00566B6A" w:rsidRDefault="00566B6A" w:rsidP="00566B6A">
      <w:pPr>
        <w:pStyle w:val="ListBullet"/>
      </w:pPr>
      <w:r>
        <w:t xml:space="preserve">The estimation of FTEs is subject to respondent record keeping and different national collection practices. Methods for separating research and non-research activities from R&amp;D personnel working time may differ between countries and sectors. Calculating </w:t>
      </w:r>
      <w:r w:rsidRPr="0011020D">
        <w:t xml:space="preserve">FTEs is particularly challenging in </w:t>
      </w:r>
      <w:r>
        <w:t>higher education</w:t>
      </w:r>
      <w:r w:rsidRPr="0011020D">
        <w:t xml:space="preserve">, as many researchers engage in other </w:t>
      </w:r>
      <w:r>
        <w:t xml:space="preserve">non R&amp;D </w:t>
      </w:r>
      <w:r w:rsidRPr="0011020D">
        <w:t>activities, such as teaching</w:t>
      </w:r>
      <w:r>
        <w:t>, consultancy</w:t>
      </w:r>
      <w:r w:rsidRPr="0011020D">
        <w:t xml:space="preserve"> or administrati</w:t>
      </w:r>
      <w:r>
        <w:t>on</w:t>
      </w:r>
      <w:r w:rsidRPr="0011020D">
        <w:t>.</w:t>
      </w:r>
      <w:r>
        <w:t xml:space="preserve"> </w:t>
      </w:r>
    </w:p>
    <w:p w:rsidR="00566B6A" w:rsidRPr="003F0704" w:rsidRDefault="00566B6A" w:rsidP="00566B6A">
      <w:pPr>
        <w:pStyle w:val="ListBullet"/>
      </w:pPr>
      <w:r w:rsidRPr="003F0704">
        <w:t xml:space="preserve">A headcount-based indicator may allow for enhanced country coverage, but this should take into account the extent to which researchers </w:t>
      </w:r>
      <w:r>
        <w:t xml:space="preserve">may be in the payroll of </w:t>
      </w:r>
      <w:r w:rsidRPr="003F0704">
        <w:t>different organisations at the same time</w:t>
      </w:r>
      <w:r>
        <w:t xml:space="preserve"> (for example a university and a hospital or a government research institution)</w:t>
      </w:r>
      <w:r w:rsidRPr="003F0704">
        <w:t>.</w:t>
      </w:r>
    </w:p>
    <w:p w:rsidR="00566B6A" w:rsidRPr="009712F2" w:rsidRDefault="00566B6A" w:rsidP="00566B6A">
      <w:pPr>
        <w:pStyle w:val="ListBullet"/>
      </w:pPr>
      <w:r>
        <w:t>Despite these challenges, d</w:t>
      </w:r>
      <w:r w:rsidRPr="009712F2">
        <w:t xml:space="preserve">ata on total researchers are well covered for OECD countries. Guidelines in the OECD Frascati Manual insure a high level of international comparability although breaks in national time series can occur due to historical changes in </w:t>
      </w:r>
      <w:r>
        <w:t xml:space="preserve">the </w:t>
      </w:r>
      <w:r w:rsidRPr="009712F2">
        <w:t xml:space="preserve">methodology applied. </w:t>
      </w:r>
    </w:p>
    <w:p w:rsidR="00566B6A" w:rsidRPr="00165129" w:rsidRDefault="00566B6A" w:rsidP="00566B6A">
      <w:pPr>
        <w:pStyle w:val="ListBullet"/>
      </w:pPr>
      <w:r w:rsidRPr="00165129">
        <w:lastRenderedPageBreak/>
        <w:t xml:space="preserve">The forthcoming adoption of the 7th edition of the OECD Frascati Manual in 2015 will help clarify the collection and reporting of R&amp;D personnel data. </w:t>
      </w:r>
    </w:p>
    <w:p w:rsidR="003448D6" w:rsidRDefault="003448D6" w:rsidP="003448D6">
      <w:pPr>
        <w:pStyle w:val="Heading3"/>
      </w:pPr>
      <w:r>
        <w:t>Gender equality issues</w:t>
      </w:r>
    </w:p>
    <w:p w:rsidR="00566B6A" w:rsidRPr="002058F6" w:rsidRDefault="00566B6A" w:rsidP="00566B6A">
      <w:pPr>
        <w:pStyle w:val="BodyText"/>
      </w:pPr>
      <w:r>
        <w:t xml:space="preserve">Data reported internationally on this indicator allow for it to be broken down by gender. This can assist monitoring the gender balance in the composition of a country’s research workforce, by comparing to other labour market participation. </w:t>
      </w:r>
    </w:p>
    <w:p w:rsidR="003448D6" w:rsidRPr="00F26470" w:rsidRDefault="00F26470" w:rsidP="003448D6">
      <w:pPr>
        <w:pStyle w:val="Heading3"/>
      </w:pPr>
      <w:r w:rsidRPr="00F26470">
        <w:t xml:space="preserve"> </w:t>
      </w:r>
      <w:r w:rsidR="003448D6" w:rsidRPr="00F26470">
        <w:t>Data for global and regional monitoring</w:t>
      </w:r>
    </w:p>
    <w:p w:rsidR="00566B6A" w:rsidRDefault="00566B6A" w:rsidP="00566B6A">
      <w:pPr>
        <w:pStyle w:val="BodyText"/>
      </w:pPr>
      <w:r>
        <w:t xml:space="preserve">The OECD has been collecting R&amp;D data for member countries on a regular basis since the early 1960s. This currently also includes a number of partner economies. </w:t>
      </w:r>
      <w:hyperlink r:id="rId9" w:history="1">
        <w:r w:rsidRPr="005937F8">
          <w:rPr>
            <w:rStyle w:val="Hyperlink"/>
          </w:rPr>
          <w:t>www.oecd.org/sti/msti.htm</w:t>
        </w:r>
      </w:hyperlink>
      <w:r>
        <w:t xml:space="preserve">. The OECD currently collects data on human resources devoted to R&amp;D through a questionnaire to countries jointly implemented with Eurostat </w:t>
      </w:r>
      <w:r w:rsidRPr="00272330">
        <w:t>(the statistical office of the European Union)</w:t>
      </w:r>
      <w:r>
        <w:t xml:space="preserve">. </w:t>
      </w:r>
    </w:p>
    <w:p w:rsidR="00566B6A" w:rsidRPr="002058F6" w:rsidRDefault="00566B6A" w:rsidP="00566B6A">
      <w:pPr>
        <w:pStyle w:val="BodyText"/>
      </w:pPr>
      <w:r>
        <w:t xml:space="preserve">The UNESCO Institute for Statistics (UIS) </w:t>
      </w:r>
      <w:r w:rsidRPr="00272330">
        <w:t>releases data on the human resources devoted to R&amp;D for 152 countries and territories</w:t>
      </w:r>
      <w:r>
        <w:t xml:space="preserve"> </w:t>
      </w:r>
      <w:hyperlink r:id="rId10" w:history="1">
        <w:r w:rsidRPr="004639E4">
          <w:rPr>
            <w:rStyle w:val="Hyperlink"/>
          </w:rPr>
          <w:t>http://data.uis.unesco.org/Index.aspx?queryid=115</w:t>
        </w:r>
      </w:hyperlink>
      <w:r>
        <w:t xml:space="preserve">. </w:t>
      </w:r>
      <w:r w:rsidRPr="00272330">
        <w:t xml:space="preserve">The data </w:t>
      </w:r>
      <w:r>
        <w:t>a</w:t>
      </w:r>
      <w:r w:rsidRPr="00272330">
        <w:t xml:space="preserve">re collected through the Institute’s survey on statistics of R&amp;D, which is conducted every two years. </w:t>
      </w:r>
    </w:p>
    <w:p w:rsidR="001B6093" w:rsidRDefault="001B6093" w:rsidP="001B6093">
      <w:pPr>
        <w:pStyle w:val="Heading3"/>
        <w:spacing w:before="100" w:beforeAutospacing="1" w:after="100" w:afterAutospacing="1"/>
      </w:pPr>
      <w:r>
        <w:t>Supplementary information</w:t>
      </w:r>
    </w:p>
    <w:p w:rsidR="00566B6A" w:rsidRPr="00B47833" w:rsidRDefault="00566B6A" w:rsidP="00566B6A">
      <w:pPr>
        <w:pStyle w:val="BodyText"/>
      </w:pPr>
      <w:r>
        <w:t xml:space="preserve">Detailed </w:t>
      </w:r>
      <w:r w:rsidRPr="00B47833">
        <w:t>OECD R&amp;D</w:t>
      </w:r>
      <w:r>
        <w:t xml:space="preserve"> data and </w:t>
      </w:r>
      <w:r w:rsidRPr="00B47833">
        <w:t xml:space="preserve">information on </w:t>
      </w:r>
      <w:r>
        <w:t>s</w:t>
      </w:r>
      <w:r w:rsidRPr="00B47833">
        <w:t xml:space="preserve">ources and </w:t>
      </w:r>
      <w:r>
        <w:t>m</w:t>
      </w:r>
      <w:r w:rsidRPr="00B47833">
        <w:t>ethods us</w:t>
      </w:r>
      <w:r>
        <w:t>ed</w:t>
      </w:r>
      <w:r w:rsidRPr="00B47833">
        <w:t xml:space="preserve"> by countries reporting data to OECD. </w:t>
      </w:r>
      <w:hyperlink r:id="rId11" w:history="1">
        <w:r w:rsidRPr="005937F8">
          <w:rPr>
            <w:rStyle w:val="Hyperlink"/>
          </w:rPr>
          <w:t>www.oecd.org/sti/rds</w:t>
        </w:r>
      </w:hyperlink>
      <w:r>
        <w:t xml:space="preserve"> </w:t>
      </w:r>
    </w:p>
    <w:p w:rsidR="001B6093" w:rsidRDefault="001B6093" w:rsidP="001B6093">
      <w:pPr>
        <w:pStyle w:val="Heading3"/>
        <w:spacing w:before="100" w:beforeAutospacing="1" w:after="100" w:afterAutospacing="1"/>
      </w:pPr>
      <w:r>
        <w:t>References</w:t>
      </w:r>
    </w:p>
    <w:p w:rsidR="008A65C8" w:rsidRDefault="00566B6A" w:rsidP="00566B6A">
      <w:pPr>
        <w:pStyle w:val="Biblio-Entry"/>
        <w:spacing w:before="120" w:after="0"/>
        <w:rPr>
          <w:rStyle w:val="Hyperlink"/>
        </w:rPr>
      </w:pPr>
      <w:r>
        <w:t>OECD Frascati Manual (2002). 6</w:t>
      </w:r>
      <w:r w:rsidRPr="002058F6">
        <w:rPr>
          <w:vertAlign w:val="superscript"/>
        </w:rPr>
        <w:t>th</w:t>
      </w:r>
      <w:r>
        <w:t xml:space="preserve"> edition. To be replaced by a 7</w:t>
      </w:r>
      <w:r w:rsidRPr="002058F6">
        <w:rPr>
          <w:vertAlign w:val="superscript"/>
        </w:rPr>
        <w:t>th</w:t>
      </w:r>
      <w:r>
        <w:t xml:space="preserve"> edition to be published in October 2015. </w:t>
      </w:r>
      <w:hyperlink r:id="rId12" w:history="1">
        <w:r>
          <w:rPr>
            <w:rStyle w:val="Hyperlink"/>
          </w:rPr>
          <w:t>www.oecd.org/sti/frascatimanual</w:t>
        </w:r>
      </w:hyperlink>
    </w:p>
    <w:p w:rsidR="004054DC" w:rsidRDefault="004054DC" w:rsidP="00566B6A">
      <w:pPr>
        <w:pStyle w:val="Biblio-Entry"/>
        <w:spacing w:before="120" w:after="0"/>
        <w:rPr>
          <w:rStyle w:val="Hyperlink"/>
        </w:rPr>
      </w:pPr>
    </w:p>
    <w:p w:rsidR="004054DC" w:rsidRDefault="004054DC">
      <w:pPr>
        <w:tabs>
          <w:tab w:val="clear" w:pos="850"/>
          <w:tab w:val="clear" w:pos="1191"/>
          <w:tab w:val="clear" w:pos="1531"/>
        </w:tabs>
        <w:jc w:val="left"/>
        <w:rPr>
          <w:rStyle w:val="Hyperlink"/>
        </w:rPr>
      </w:pPr>
      <w:r>
        <w:rPr>
          <w:rStyle w:val="Hyperlink"/>
        </w:rPr>
        <w:br w:type="page"/>
      </w:r>
    </w:p>
    <w:p w:rsidR="004054DC" w:rsidRPr="004054DC" w:rsidRDefault="004054DC" w:rsidP="004054DC">
      <w:pPr>
        <w:keepNext/>
        <w:spacing w:before="1200" w:after="720"/>
        <w:jc w:val="center"/>
        <w:outlineLvl w:val="0"/>
        <w:rPr>
          <w:b/>
          <w:bCs/>
          <w:caps/>
          <w:kern w:val="28"/>
        </w:rPr>
      </w:pPr>
      <w:r w:rsidRPr="004054DC">
        <w:rPr>
          <w:b/>
          <w:bCs/>
          <w:caps/>
          <w:kern w:val="28"/>
        </w:rPr>
        <w:lastRenderedPageBreak/>
        <w:t>stocks of PRODUCED and subsoil assets</w:t>
      </w:r>
    </w:p>
    <w:p w:rsidR="004054DC" w:rsidRPr="004054DC" w:rsidRDefault="004054DC" w:rsidP="004054DC">
      <w:pPr>
        <w:keepNext/>
        <w:spacing w:before="240" w:after="240"/>
        <w:outlineLvl w:val="2"/>
        <w:rPr>
          <w:b/>
          <w:bCs/>
          <w:i/>
          <w:iCs/>
        </w:rPr>
      </w:pPr>
      <w:r w:rsidRPr="004054DC">
        <w:rPr>
          <w:b/>
          <w:bCs/>
          <w:i/>
          <w:iCs/>
        </w:rPr>
        <w:t>Goal and targets addressed</w:t>
      </w:r>
    </w:p>
    <w:p w:rsidR="004054DC" w:rsidRPr="004054DC" w:rsidRDefault="004054DC" w:rsidP="004054DC">
      <w:pPr>
        <w:spacing w:after="240"/>
        <w:ind w:firstLine="442"/>
      </w:pPr>
      <w:r w:rsidRPr="004054DC">
        <w:t>Goal 8: Promote sustained, inclusive and sustainable economic growth, full and productive employment and decent work for all</w:t>
      </w:r>
    </w:p>
    <w:p w:rsidR="004054DC" w:rsidRPr="004054DC" w:rsidRDefault="004054DC" w:rsidP="004054DC">
      <w:pPr>
        <w:spacing w:after="240"/>
        <w:ind w:firstLine="442"/>
      </w:pPr>
      <w:r w:rsidRPr="004054DC">
        <w:t>Target 8.1: Sustain per capita economic growth in accordance with national circumstances and in particular at least 7 percent GDP growth per annum in the least developed countries.</w:t>
      </w:r>
    </w:p>
    <w:p w:rsidR="004054DC" w:rsidRPr="004054DC" w:rsidRDefault="004054DC" w:rsidP="004054DC">
      <w:pPr>
        <w:keepNext/>
        <w:spacing w:before="240" w:after="240"/>
        <w:outlineLvl w:val="2"/>
        <w:rPr>
          <w:b/>
          <w:bCs/>
          <w:i/>
          <w:iCs/>
        </w:rPr>
      </w:pPr>
      <w:r w:rsidRPr="004054DC">
        <w:rPr>
          <w:b/>
          <w:bCs/>
          <w:i/>
          <w:iCs/>
        </w:rPr>
        <w:t>Indicators</w:t>
      </w:r>
    </w:p>
    <w:p w:rsidR="004054DC" w:rsidRPr="004054DC" w:rsidRDefault="004054DC" w:rsidP="004054DC">
      <w:pPr>
        <w:spacing w:after="240"/>
        <w:ind w:firstLine="442"/>
      </w:pPr>
      <w:r w:rsidRPr="004054DC">
        <w:t>Change in net stock of produced and sub-soil assets</w:t>
      </w:r>
    </w:p>
    <w:p w:rsidR="004054DC" w:rsidRPr="004054DC" w:rsidRDefault="004054DC" w:rsidP="004054DC">
      <w:pPr>
        <w:keepNext/>
        <w:spacing w:before="240" w:after="240"/>
        <w:outlineLvl w:val="2"/>
        <w:rPr>
          <w:b/>
          <w:bCs/>
          <w:i/>
          <w:iCs/>
        </w:rPr>
      </w:pPr>
      <w:r w:rsidRPr="004054DC">
        <w:rPr>
          <w:b/>
          <w:bCs/>
          <w:i/>
          <w:iCs/>
        </w:rPr>
        <w:t>Definition and method of computation</w:t>
      </w:r>
    </w:p>
    <w:p w:rsidR="004054DC" w:rsidRPr="004054DC" w:rsidRDefault="004054DC" w:rsidP="004054DC">
      <w:pPr>
        <w:spacing w:after="240"/>
        <w:ind w:firstLine="442"/>
      </w:pPr>
      <w:r w:rsidRPr="004054DC">
        <w:t xml:space="preserve">Changes of stocks of produced capital consist of gross fixed capital formation minus retirement and depreciation, expressed in constant prices. Changes of stocks of sub-soil assets consist of economic appearance of new subsoil assets minus depletion. Specific definitions should follow the 2008 SNA and the 2012 SEEA. </w:t>
      </w:r>
    </w:p>
    <w:p w:rsidR="004054DC" w:rsidRPr="004054DC" w:rsidRDefault="004054DC" w:rsidP="004054DC">
      <w:pPr>
        <w:keepNext/>
        <w:spacing w:before="240" w:after="240"/>
        <w:outlineLvl w:val="2"/>
        <w:rPr>
          <w:b/>
          <w:bCs/>
          <w:i/>
          <w:iCs/>
        </w:rPr>
      </w:pPr>
      <w:r w:rsidRPr="004054DC">
        <w:rPr>
          <w:b/>
          <w:bCs/>
          <w:i/>
          <w:iCs/>
        </w:rPr>
        <w:t>Rationale and interpretation</w:t>
      </w:r>
    </w:p>
    <w:p w:rsidR="004054DC" w:rsidRPr="004054DC" w:rsidRDefault="004054DC" w:rsidP="004054DC">
      <w:pPr>
        <w:spacing w:after="240"/>
        <w:ind w:firstLine="442"/>
      </w:pPr>
      <w:r w:rsidRPr="004054DC">
        <w:t xml:space="preserve">Economic sustainability is linked to the evolution of net stocks that provide capital service inputs to production.    </w:t>
      </w:r>
    </w:p>
    <w:p w:rsidR="004054DC" w:rsidRPr="004054DC" w:rsidRDefault="004054DC" w:rsidP="004054DC">
      <w:pPr>
        <w:keepNext/>
        <w:spacing w:before="240" w:after="240"/>
        <w:outlineLvl w:val="2"/>
        <w:rPr>
          <w:b/>
          <w:bCs/>
          <w:i/>
          <w:iCs/>
        </w:rPr>
      </w:pPr>
      <w:r w:rsidRPr="004054DC">
        <w:rPr>
          <w:b/>
          <w:bCs/>
          <w:i/>
          <w:iCs/>
        </w:rPr>
        <w:t>Sources and data collection</w:t>
      </w:r>
    </w:p>
    <w:p w:rsidR="004054DC" w:rsidRPr="004054DC" w:rsidRDefault="004054DC" w:rsidP="004054DC">
      <w:pPr>
        <w:spacing w:after="240"/>
        <w:ind w:firstLine="442"/>
      </w:pPr>
      <w:r w:rsidRPr="004054DC">
        <w:t xml:space="preserve">Stocks and flows of produced assets and subsoil assets are in principle part of national accounts.  However, while data coverage of produced assets is good for OECD countries, this is not the case for sub-soil assets. The OECD, in cooperation with the World Bank has therefore engaged in a project to improve measurement of key subsoil assets in physical and monetary terms, in line with the UN-SEEA. </w:t>
      </w:r>
    </w:p>
    <w:p w:rsidR="004054DC" w:rsidRPr="004054DC" w:rsidRDefault="004054DC" w:rsidP="004054DC">
      <w:pPr>
        <w:keepNext/>
        <w:spacing w:before="240" w:after="240"/>
        <w:outlineLvl w:val="2"/>
        <w:rPr>
          <w:b/>
          <w:bCs/>
          <w:i/>
          <w:iCs/>
        </w:rPr>
      </w:pPr>
      <w:r w:rsidRPr="004054DC">
        <w:rPr>
          <w:b/>
          <w:bCs/>
          <w:i/>
          <w:iCs/>
        </w:rPr>
        <w:t>Disaggregation</w:t>
      </w:r>
    </w:p>
    <w:p w:rsidR="004054DC" w:rsidRPr="004054DC" w:rsidRDefault="004054DC" w:rsidP="004054DC">
      <w:pPr>
        <w:spacing w:after="240"/>
        <w:ind w:firstLine="442"/>
      </w:pPr>
      <w:r w:rsidRPr="004054DC">
        <w:t xml:space="preserve">Where data exists, disaggregation by type of asset is typically possible. </w:t>
      </w:r>
    </w:p>
    <w:p w:rsidR="004054DC" w:rsidRPr="004054DC" w:rsidRDefault="004054DC" w:rsidP="004054DC">
      <w:pPr>
        <w:keepNext/>
        <w:spacing w:before="240" w:after="240"/>
        <w:outlineLvl w:val="2"/>
        <w:rPr>
          <w:b/>
          <w:bCs/>
          <w:i/>
          <w:iCs/>
        </w:rPr>
      </w:pPr>
      <w:r w:rsidRPr="004054DC">
        <w:rPr>
          <w:b/>
          <w:bCs/>
          <w:i/>
          <w:iCs/>
        </w:rPr>
        <w:t>Comments and limitations</w:t>
      </w:r>
    </w:p>
    <w:p w:rsidR="004054DC" w:rsidRPr="004054DC" w:rsidRDefault="004054DC" w:rsidP="004054DC">
      <w:pPr>
        <w:spacing w:after="240"/>
        <w:ind w:firstLine="442"/>
      </w:pPr>
      <w:r w:rsidRPr="004054DC">
        <w:t xml:space="preserve">To date, physical and monetary information on stocks of sub-soil assets are patchy at best and suffer from problems with international comparability.  </w:t>
      </w:r>
    </w:p>
    <w:p w:rsidR="004054DC" w:rsidRPr="004054DC" w:rsidRDefault="004054DC" w:rsidP="004054DC">
      <w:pPr>
        <w:keepNext/>
        <w:spacing w:before="240" w:after="240"/>
        <w:outlineLvl w:val="2"/>
        <w:rPr>
          <w:b/>
          <w:bCs/>
          <w:i/>
          <w:iCs/>
        </w:rPr>
      </w:pPr>
      <w:r w:rsidRPr="004054DC">
        <w:rPr>
          <w:b/>
          <w:bCs/>
          <w:i/>
          <w:iCs/>
        </w:rPr>
        <w:t>Gender equality issues</w:t>
      </w:r>
    </w:p>
    <w:p w:rsidR="004054DC" w:rsidRPr="004054DC" w:rsidRDefault="004054DC" w:rsidP="004054DC">
      <w:pPr>
        <w:spacing w:after="240"/>
        <w:ind w:firstLine="442"/>
      </w:pPr>
      <w:r w:rsidRPr="004054DC">
        <w:t>No gender specific measurement has been pursued.</w:t>
      </w:r>
    </w:p>
    <w:p w:rsidR="004054DC" w:rsidRPr="004054DC" w:rsidRDefault="004054DC" w:rsidP="004054DC">
      <w:pPr>
        <w:keepNext/>
        <w:spacing w:before="240" w:after="240"/>
        <w:outlineLvl w:val="2"/>
        <w:rPr>
          <w:b/>
          <w:bCs/>
          <w:i/>
          <w:iCs/>
        </w:rPr>
      </w:pPr>
      <w:r w:rsidRPr="004054DC">
        <w:rPr>
          <w:b/>
          <w:bCs/>
          <w:i/>
          <w:iCs/>
        </w:rPr>
        <w:t>Data for global and regional monitoring</w:t>
      </w:r>
    </w:p>
    <w:p w:rsidR="004054DC" w:rsidRPr="004054DC" w:rsidRDefault="004054DC" w:rsidP="004054DC">
      <w:pPr>
        <w:spacing w:after="240"/>
        <w:ind w:firstLine="442"/>
      </w:pPr>
      <w:r w:rsidRPr="004054DC">
        <w:t>Internationally comparable data on sub-soil assets is under development. Data on produced assets is widely available but data available at the OECD is largely limited to OECD countries.</w:t>
      </w:r>
    </w:p>
    <w:p w:rsidR="004054DC" w:rsidRPr="004054DC" w:rsidRDefault="004054DC" w:rsidP="004054DC">
      <w:pPr>
        <w:keepNext/>
        <w:spacing w:before="240" w:after="240"/>
        <w:outlineLvl w:val="2"/>
        <w:rPr>
          <w:b/>
          <w:bCs/>
          <w:i/>
          <w:iCs/>
        </w:rPr>
      </w:pPr>
      <w:r w:rsidRPr="004054DC">
        <w:rPr>
          <w:b/>
          <w:bCs/>
          <w:i/>
          <w:iCs/>
        </w:rPr>
        <w:lastRenderedPageBreak/>
        <w:t>References</w:t>
      </w:r>
    </w:p>
    <w:p w:rsidR="004054DC" w:rsidRPr="004054DC" w:rsidRDefault="004054DC" w:rsidP="004054DC">
      <w:pPr>
        <w:spacing w:after="240"/>
        <w:ind w:left="567" w:hanging="567"/>
      </w:pPr>
      <w:r w:rsidRPr="004054DC">
        <w:t xml:space="preserve">United Nations, European Commission, Food and Agriculture Organization of the United Nations, International Monetary Fund, Organisation for Economic Co-operation and Development, The World Bank (2014); </w:t>
      </w:r>
      <w:r w:rsidRPr="004054DC">
        <w:rPr>
          <w:i/>
        </w:rPr>
        <w:t xml:space="preserve">System of Environmental-Economic Accounting 2012 Central Framework, </w:t>
      </w:r>
      <w:r w:rsidRPr="004054DC">
        <w:t xml:space="preserve">New York, United Nations </w:t>
      </w:r>
    </w:p>
    <w:p w:rsidR="004054DC" w:rsidRPr="004054DC" w:rsidRDefault="004054DC" w:rsidP="004054DC">
      <w:pPr>
        <w:spacing w:after="240"/>
        <w:ind w:left="567" w:hanging="567"/>
      </w:pPr>
      <w:r w:rsidRPr="004054DC">
        <w:t>Schreyer, P. and C. Obst (2015), "Towards Complete Balance Sheets in the National Accounts: The case of Mineral and Energy Resources", </w:t>
      </w:r>
      <w:r w:rsidRPr="004054DC">
        <w:rPr>
          <w:i/>
          <w:iCs/>
        </w:rPr>
        <w:t>OECD Green Growth Papers</w:t>
      </w:r>
      <w:r w:rsidRPr="004054DC">
        <w:t>, No. 2015/02, OECD Publishing, Paris</w:t>
      </w:r>
      <w:r w:rsidRPr="004054DC">
        <w:rPr>
          <w:rFonts w:ascii="Arial" w:hAnsi="Arial" w:cs="Arial"/>
          <w:color w:val="4B4B4B"/>
          <w:sz w:val="18"/>
          <w:szCs w:val="18"/>
          <w:shd w:val="clear" w:color="auto" w:fill="FFFFFF"/>
        </w:rPr>
        <w:t> </w:t>
      </w:r>
      <w:hyperlink r:id="rId13" w:tgtFrame="_blank" w:tooltip="http://dx.doi.org/10.1787/5js319256pvf-en" w:history="1">
        <w:r w:rsidRPr="004054DC">
          <w:rPr>
            <w:rFonts w:ascii="inherit" w:hAnsi="inherit" w:cs="Arial"/>
            <w:color w:val="1B67B5"/>
            <w:sz w:val="18"/>
            <w:szCs w:val="18"/>
            <w:u w:val="single"/>
            <w:bdr w:val="none" w:sz="0" w:space="0" w:color="auto" w:frame="1"/>
            <w:shd w:val="clear" w:color="auto" w:fill="FFFFFF"/>
          </w:rPr>
          <w:t>http://dx.doi.org/10.1787/5js319256pvf-en</w:t>
        </w:r>
      </w:hyperlink>
    </w:p>
    <w:p w:rsidR="004054DC" w:rsidRDefault="004054DC">
      <w:pPr>
        <w:tabs>
          <w:tab w:val="clear" w:pos="850"/>
          <w:tab w:val="clear" w:pos="1191"/>
          <w:tab w:val="clear" w:pos="1531"/>
        </w:tabs>
        <w:jc w:val="left"/>
      </w:pPr>
      <w:r>
        <w:br w:type="page"/>
      </w:r>
    </w:p>
    <w:p w:rsidR="004054DC" w:rsidRPr="004054DC" w:rsidRDefault="004054DC" w:rsidP="004054DC">
      <w:pPr>
        <w:keepNext/>
        <w:spacing w:before="1200" w:after="720"/>
        <w:jc w:val="center"/>
        <w:outlineLvl w:val="0"/>
        <w:rPr>
          <w:b/>
          <w:bCs/>
          <w:caps/>
          <w:kern w:val="28"/>
        </w:rPr>
      </w:pPr>
      <w:r w:rsidRPr="004054DC">
        <w:rPr>
          <w:b/>
          <w:bCs/>
          <w:caps/>
          <w:kern w:val="28"/>
        </w:rPr>
        <w:lastRenderedPageBreak/>
        <w:t xml:space="preserve">Gross expenditure in R&amp;D (GERD) as a percentage of GDP  </w:t>
      </w:r>
    </w:p>
    <w:p w:rsidR="004054DC" w:rsidRPr="004054DC" w:rsidRDefault="004054DC" w:rsidP="004054DC">
      <w:pPr>
        <w:keepNext/>
        <w:spacing w:before="240" w:after="240"/>
        <w:outlineLvl w:val="2"/>
        <w:rPr>
          <w:b/>
          <w:bCs/>
          <w:i/>
          <w:iCs/>
        </w:rPr>
      </w:pPr>
      <w:r w:rsidRPr="004054DC">
        <w:rPr>
          <w:b/>
          <w:bCs/>
          <w:i/>
          <w:iCs/>
        </w:rPr>
        <w:t>Goal and targets addressed</w:t>
      </w:r>
    </w:p>
    <w:p w:rsidR="004054DC" w:rsidRPr="004054DC" w:rsidRDefault="004054DC" w:rsidP="004054DC">
      <w:pPr>
        <w:spacing w:after="240"/>
        <w:ind w:firstLine="442"/>
      </w:pPr>
      <w:r w:rsidRPr="004054DC">
        <w:rPr>
          <w:bCs/>
        </w:rPr>
        <w:t>Goal 9</w:t>
      </w:r>
      <w:r w:rsidRPr="004054DC">
        <w:t>:</w:t>
      </w:r>
      <w:r w:rsidRPr="004054DC">
        <w:rPr>
          <w:bCs/>
        </w:rPr>
        <w:t xml:space="preserve"> </w:t>
      </w:r>
      <w:r w:rsidRPr="004054DC">
        <w:t>Build resilient infrastructure, promote inclusive and sustainable industrialization and foster innovation</w:t>
      </w:r>
    </w:p>
    <w:p w:rsidR="004054DC" w:rsidRPr="004054DC" w:rsidRDefault="004054DC" w:rsidP="004054DC">
      <w:pPr>
        <w:spacing w:after="240"/>
        <w:ind w:firstLine="442"/>
      </w:pPr>
      <w:r w:rsidRPr="004054DC">
        <w:t xml:space="preserve">Target 9.5 Enhance scientific research, upgrade the technological capabilities of industrial sectors in all countries, in particular developing countries, including, by 2030, encouraging innovation and increasing the number of research and development workers per 1 million people by [x] per cent and public and private research and development spending. </w:t>
      </w:r>
    </w:p>
    <w:p w:rsidR="004054DC" w:rsidRPr="004054DC" w:rsidRDefault="004054DC" w:rsidP="004054DC">
      <w:pPr>
        <w:keepNext/>
        <w:spacing w:before="240" w:after="240"/>
        <w:outlineLvl w:val="2"/>
        <w:rPr>
          <w:b/>
          <w:bCs/>
          <w:i/>
          <w:iCs/>
        </w:rPr>
      </w:pPr>
      <w:r w:rsidRPr="004054DC">
        <w:rPr>
          <w:b/>
          <w:bCs/>
          <w:i/>
          <w:iCs/>
        </w:rPr>
        <w:t>Indicators</w:t>
      </w:r>
    </w:p>
    <w:p w:rsidR="004054DC" w:rsidRPr="004054DC" w:rsidRDefault="004054DC" w:rsidP="004054DC">
      <w:pPr>
        <w:spacing w:after="240"/>
        <w:ind w:firstLine="442"/>
      </w:pPr>
      <w:r w:rsidRPr="004054DC">
        <w:t>Gross expenditure in R&amp;D (GERD) as a percentage of GDP</w:t>
      </w:r>
    </w:p>
    <w:p w:rsidR="004054DC" w:rsidRPr="004054DC" w:rsidRDefault="004054DC" w:rsidP="004054DC">
      <w:pPr>
        <w:keepNext/>
        <w:spacing w:before="240" w:after="240"/>
        <w:outlineLvl w:val="2"/>
        <w:rPr>
          <w:b/>
          <w:bCs/>
          <w:i/>
          <w:iCs/>
        </w:rPr>
      </w:pPr>
      <w:r w:rsidRPr="004054DC">
        <w:rPr>
          <w:b/>
          <w:bCs/>
          <w:i/>
          <w:iCs/>
        </w:rPr>
        <w:t>Definition and method of computation</w:t>
      </w:r>
    </w:p>
    <w:p w:rsidR="004054DC" w:rsidRPr="004054DC" w:rsidRDefault="004054DC" w:rsidP="004054DC">
      <w:pPr>
        <w:tabs>
          <w:tab w:val="clear" w:pos="1191"/>
          <w:tab w:val="clear" w:pos="1531"/>
          <w:tab w:val="num" w:pos="850"/>
        </w:tabs>
        <w:spacing w:after="240"/>
        <w:ind w:left="850" w:hanging="408"/>
      </w:pPr>
      <w:r w:rsidRPr="004054DC">
        <w:t xml:space="preserve">The indicator is defined as the ratio of Gross domestic Expenditures on R&amp;D (GERD) to GDP. This is also commonly described and referred to as the (expenditure-based) measure of R&amp;D intensity. </w:t>
      </w:r>
    </w:p>
    <w:p w:rsidR="004054DC" w:rsidRPr="004054DC" w:rsidRDefault="004054DC" w:rsidP="004054DC">
      <w:pPr>
        <w:tabs>
          <w:tab w:val="clear" w:pos="1191"/>
          <w:tab w:val="clear" w:pos="1531"/>
          <w:tab w:val="num" w:pos="850"/>
        </w:tabs>
        <w:spacing w:after="240"/>
        <w:ind w:left="850" w:hanging="408"/>
      </w:pPr>
      <w:r w:rsidRPr="004054DC">
        <w:t>As defined by the OECD, R&amp;D comprise creative work undertaken on a systematic basis in order to increase the stock of knowledge (including knowledge of man, culture and society) and the use of this knowledge to devise new applications. R&amp;D covers three activities: basic research, applied research, and experimental development (OECD, 2002).</w:t>
      </w:r>
    </w:p>
    <w:p w:rsidR="004054DC" w:rsidRPr="004054DC" w:rsidRDefault="004054DC" w:rsidP="004054DC">
      <w:pPr>
        <w:tabs>
          <w:tab w:val="clear" w:pos="1191"/>
          <w:tab w:val="clear" w:pos="1531"/>
          <w:tab w:val="num" w:pos="850"/>
        </w:tabs>
        <w:spacing w:after="240"/>
        <w:ind w:left="850" w:hanging="408"/>
      </w:pPr>
      <w:r w:rsidRPr="004054DC">
        <w:t>GERD is total intramural expenditure on R&amp;D performed in the national territory during a specific reference period. GERD includes domestically performed R&amp;D that is financed from abroad (i.e. from the “rest of the world”) but excludes funding for R&amp;D performed abroad.</w:t>
      </w:r>
    </w:p>
    <w:p w:rsidR="004054DC" w:rsidRPr="004054DC" w:rsidRDefault="004054DC" w:rsidP="004054DC">
      <w:pPr>
        <w:tabs>
          <w:tab w:val="clear" w:pos="1191"/>
          <w:tab w:val="clear" w:pos="1531"/>
          <w:tab w:val="num" w:pos="850"/>
        </w:tabs>
        <w:spacing w:after="240"/>
        <w:ind w:left="850" w:hanging="408"/>
      </w:pPr>
      <w:r w:rsidRPr="004054DC">
        <w:t xml:space="preserve">GERD is computed by adding up the all current expenditures plus gross fixed capital expenditures for R&amp;D performed within the statistical unit or sector of the economy during a specific reference period, regardless of the source of funds. </w:t>
      </w:r>
    </w:p>
    <w:p w:rsidR="004054DC" w:rsidRPr="004054DC" w:rsidRDefault="004054DC" w:rsidP="004054DC">
      <w:pPr>
        <w:tabs>
          <w:tab w:val="clear" w:pos="1191"/>
          <w:tab w:val="clear" w:pos="1531"/>
          <w:tab w:val="num" w:pos="850"/>
        </w:tabs>
        <w:spacing w:after="240"/>
        <w:ind w:left="850" w:hanging="408"/>
      </w:pPr>
      <w:r w:rsidRPr="004054DC">
        <w:t>The GERD-to-GDP ratio allows for normalising differences in countries’ aggregate R&amp;D totals that might solely reflect differences in the size of countries’ overall economies.</w:t>
      </w:r>
    </w:p>
    <w:p w:rsidR="004054DC" w:rsidRPr="004054DC" w:rsidRDefault="004054DC" w:rsidP="004054DC">
      <w:pPr>
        <w:keepNext/>
        <w:spacing w:before="240" w:after="240"/>
        <w:outlineLvl w:val="2"/>
        <w:rPr>
          <w:b/>
          <w:bCs/>
          <w:i/>
          <w:iCs/>
        </w:rPr>
      </w:pPr>
      <w:r w:rsidRPr="004054DC">
        <w:rPr>
          <w:b/>
          <w:bCs/>
          <w:i/>
          <w:iCs/>
        </w:rPr>
        <w:t>Rationale and interpretation</w:t>
      </w:r>
    </w:p>
    <w:p w:rsidR="004054DC" w:rsidRPr="004054DC" w:rsidRDefault="004054DC" w:rsidP="004054DC">
      <w:pPr>
        <w:tabs>
          <w:tab w:val="clear" w:pos="1191"/>
          <w:tab w:val="clear" w:pos="1531"/>
          <w:tab w:val="num" w:pos="850"/>
        </w:tabs>
        <w:spacing w:after="240"/>
        <w:ind w:left="850" w:hanging="408"/>
      </w:pPr>
      <w:r w:rsidRPr="004054DC">
        <w:t xml:space="preserve">The indicator represents the financial efforts undertaken within an economy to perform R&amp;D, relative to its overall size. </w:t>
      </w:r>
    </w:p>
    <w:p w:rsidR="004054DC" w:rsidRPr="004054DC" w:rsidRDefault="004054DC" w:rsidP="004054DC">
      <w:pPr>
        <w:tabs>
          <w:tab w:val="clear" w:pos="1191"/>
          <w:tab w:val="clear" w:pos="1531"/>
          <w:tab w:val="num" w:pos="850"/>
        </w:tabs>
        <w:spacing w:after="240"/>
        <w:ind w:left="850" w:hanging="408"/>
      </w:pPr>
      <w:r w:rsidRPr="004054DC">
        <w:t xml:space="preserve">Indirectly, it represents how much a country invests in one major type of knowledge-building activity that policy makers in several countries deem worth supporting and steering through a wide range of policy measures. </w:t>
      </w:r>
    </w:p>
    <w:p w:rsidR="004054DC" w:rsidRPr="004054DC" w:rsidRDefault="004054DC" w:rsidP="004054DC">
      <w:pPr>
        <w:tabs>
          <w:tab w:val="clear" w:pos="1191"/>
          <w:tab w:val="clear" w:pos="1531"/>
          <w:tab w:val="num" w:pos="850"/>
        </w:tabs>
        <w:spacing w:after="240"/>
        <w:ind w:left="850" w:hanging="408"/>
      </w:pPr>
      <w:r w:rsidRPr="004054DC">
        <w:t xml:space="preserve">The indicator of R&amp;D intensity is used in many countries and areas to monitor progress towards meeting R&amp;D policy objectives, and in some cases, explicit targets (OECD, 2014). </w:t>
      </w:r>
    </w:p>
    <w:p w:rsidR="004054DC" w:rsidRPr="004054DC" w:rsidRDefault="004054DC" w:rsidP="004054DC">
      <w:pPr>
        <w:keepNext/>
        <w:spacing w:before="240" w:after="240"/>
        <w:outlineLvl w:val="2"/>
        <w:rPr>
          <w:b/>
          <w:bCs/>
          <w:i/>
          <w:iCs/>
        </w:rPr>
      </w:pPr>
      <w:r w:rsidRPr="004054DC">
        <w:rPr>
          <w:b/>
          <w:bCs/>
          <w:i/>
          <w:iCs/>
        </w:rPr>
        <w:lastRenderedPageBreak/>
        <w:t>Sources and data collection</w:t>
      </w:r>
    </w:p>
    <w:p w:rsidR="004054DC" w:rsidRPr="004054DC" w:rsidRDefault="004054DC" w:rsidP="004054DC">
      <w:pPr>
        <w:spacing w:after="240"/>
        <w:ind w:firstLine="442"/>
      </w:pPr>
      <w:r w:rsidRPr="004054DC">
        <w:t>The primary data are obtained through statistical surveys which are regularly conducted at national level covering R &amp; D performing entities in the private and public sectors. The collection and reporting of R&amp;D data is carried out by national agencies according to the guidelines in the OECD Frascati Manual developed by the OECD Working Party of National Experts on Science and Technology Indicators (NESTI). This OECD standard has been adopted by the UNESCO Institute for Statistics, and also features in the statistical legislation of several countries and the European Union.</w:t>
      </w:r>
    </w:p>
    <w:p w:rsidR="004054DC" w:rsidRPr="004054DC" w:rsidRDefault="004054DC" w:rsidP="004054DC">
      <w:pPr>
        <w:keepNext/>
        <w:spacing w:before="240" w:after="240"/>
        <w:outlineLvl w:val="2"/>
        <w:rPr>
          <w:b/>
          <w:bCs/>
          <w:i/>
          <w:iCs/>
        </w:rPr>
      </w:pPr>
      <w:r w:rsidRPr="004054DC">
        <w:rPr>
          <w:b/>
          <w:bCs/>
          <w:i/>
          <w:iCs/>
        </w:rPr>
        <w:t xml:space="preserve"> Disaggregation</w:t>
      </w:r>
    </w:p>
    <w:p w:rsidR="004054DC" w:rsidRPr="004054DC" w:rsidRDefault="004054DC" w:rsidP="004054DC">
      <w:pPr>
        <w:spacing w:after="240"/>
        <w:ind w:firstLine="442"/>
      </w:pPr>
      <w:r w:rsidRPr="004054DC">
        <w:t xml:space="preserve">R&amp;D expenditure data are principally reported according to the broad sector of performance and the source of funds. Other breakdowns frequently used include type of R&amp;D (basic, applied or experimental development) and the type of cost (labour costs, other current and capital expenditures for R&amp;D). Other specific breakdowns are available for different sectors. </w:t>
      </w:r>
    </w:p>
    <w:p w:rsidR="004054DC" w:rsidRPr="004054DC" w:rsidRDefault="004054DC" w:rsidP="004054DC">
      <w:pPr>
        <w:keepNext/>
        <w:spacing w:before="240" w:after="240"/>
        <w:outlineLvl w:val="2"/>
        <w:rPr>
          <w:b/>
          <w:bCs/>
          <w:i/>
          <w:iCs/>
        </w:rPr>
      </w:pPr>
      <w:r w:rsidRPr="004054DC">
        <w:rPr>
          <w:b/>
          <w:bCs/>
          <w:i/>
          <w:iCs/>
        </w:rPr>
        <w:t xml:space="preserve"> Comments and limitations</w:t>
      </w:r>
    </w:p>
    <w:p w:rsidR="004054DC" w:rsidRPr="004054DC" w:rsidRDefault="004054DC" w:rsidP="004054DC">
      <w:pPr>
        <w:tabs>
          <w:tab w:val="clear" w:pos="1191"/>
          <w:tab w:val="clear" w:pos="1531"/>
          <w:tab w:val="num" w:pos="850"/>
        </w:tabs>
        <w:spacing w:after="240"/>
        <w:ind w:left="850" w:hanging="408"/>
      </w:pPr>
      <w:r w:rsidRPr="004054DC">
        <w:t xml:space="preserve">It should be noted that R&amp;D intensity is not an indicator of the output or outcome of innovation. It provides a well-established measure of a major input into the innovation process, but does not cover other relevant inputs. </w:t>
      </w:r>
    </w:p>
    <w:p w:rsidR="004054DC" w:rsidRPr="004054DC" w:rsidRDefault="004054DC" w:rsidP="004054DC">
      <w:pPr>
        <w:tabs>
          <w:tab w:val="clear" w:pos="1191"/>
          <w:tab w:val="clear" w:pos="1531"/>
          <w:tab w:val="num" w:pos="850"/>
        </w:tabs>
        <w:spacing w:after="240"/>
        <w:ind w:left="850" w:hanging="408"/>
      </w:pPr>
      <w:r w:rsidRPr="004054DC">
        <w:t xml:space="preserve">This indicator benefits from extended measurement practice in a majority of countries and territories. Measurement guidelines have developed to maintain the coherence of the data. Some significant breaks can be found for the reported series. </w:t>
      </w:r>
    </w:p>
    <w:p w:rsidR="004054DC" w:rsidRPr="004054DC" w:rsidRDefault="004054DC" w:rsidP="004054DC">
      <w:pPr>
        <w:tabs>
          <w:tab w:val="clear" w:pos="1191"/>
          <w:tab w:val="clear" w:pos="1531"/>
          <w:tab w:val="num" w:pos="850"/>
        </w:tabs>
        <w:spacing w:after="240"/>
        <w:ind w:left="850" w:hanging="408"/>
      </w:pPr>
      <w:r w:rsidRPr="004054DC">
        <w:t xml:space="preserve">While the SNA2008 is in the process of adoption, cross country comparisons should take into account which countries already incorporate R&amp;D capital formation in their measure of GDP, as the increase in the level of GDP results automatically in a lower estimate of the “GERD to GDP ratio”. </w:t>
      </w:r>
    </w:p>
    <w:p w:rsidR="004054DC" w:rsidRPr="004054DC" w:rsidRDefault="004054DC" w:rsidP="004054DC">
      <w:pPr>
        <w:tabs>
          <w:tab w:val="clear" w:pos="1191"/>
          <w:tab w:val="clear" w:pos="1531"/>
          <w:tab w:val="num" w:pos="850"/>
        </w:tabs>
        <w:spacing w:after="240"/>
        <w:ind w:left="850" w:hanging="408"/>
      </w:pPr>
      <w:r w:rsidRPr="004054DC">
        <w:t>Following the impending adoption of the 7</w:t>
      </w:r>
      <w:r w:rsidRPr="004054DC">
        <w:rPr>
          <w:vertAlign w:val="superscript"/>
        </w:rPr>
        <w:t>th</w:t>
      </w:r>
      <w:r w:rsidRPr="004054DC">
        <w:t xml:space="preserve"> edition of the Frascati Manual in October 2015, an implementation phase will follow but this is not expected to lead on its own to major revisions in the R&amp;D intensity indicator. </w:t>
      </w:r>
    </w:p>
    <w:p w:rsidR="004054DC" w:rsidRPr="004054DC" w:rsidRDefault="004054DC" w:rsidP="004054DC">
      <w:pPr>
        <w:keepNext/>
        <w:spacing w:before="240" w:after="240"/>
        <w:outlineLvl w:val="2"/>
        <w:rPr>
          <w:b/>
          <w:bCs/>
          <w:i/>
          <w:iCs/>
        </w:rPr>
      </w:pPr>
      <w:r w:rsidRPr="004054DC">
        <w:rPr>
          <w:b/>
          <w:bCs/>
          <w:i/>
          <w:iCs/>
        </w:rPr>
        <w:t>Gender equality issues</w:t>
      </w:r>
    </w:p>
    <w:p w:rsidR="004054DC" w:rsidRPr="004054DC" w:rsidRDefault="004054DC" w:rsidP="004054DC">
      <w:pPr>
        <w:spacing w:after="240"/>
        <w:ind w:firstLine="442"/>
      </w:pPr>
      <w:r w:rsidRPr="004054DC">
        <w:t>There are no specific issues that apply for this indicator. See</w:t>
      </w:r>
      <w:r w:rsidRPr="004054DC">
        <w:rPr>
          <w:i/>
        </w:rPr>
        <w:t xml:space="preserve"> </w:t>
      </w:r>
      <w:r w:rsidRPr="004054DC">
        <w:t>indicator on</w:t>
      </w:r>
      <w:r w:rsidRPr="004054DC">
        <w:rPr>
          <w:i/>
        </w:rPr>
        <w:t xml:space="preserve"> researchers as a percentage of employment</w:t>
      </w:r>
      <w:r w:rsidRPr="004054DC">
        <w:t xml:space="preserve"> for a discussion of gender issues in the performance of R&amp;D. </w:t>
      </w:r>
    </w:p>
    <w:p w:rsidR="004054DC" w:rsidRPr="004054DC" w:rsidRDefault="004054DC" w:rsidP="004054DC">
      <w:pPr>
        <w:keepNext/>
        <w:spacing w:before="240" w:after="240"/>
        <w:outlineLvl w:val="2"/>
        <w:rPr>
          <w:b/>
          <w:bCs/>
          <w:i/>
          <w:iCs/>
        </w:rPr>
      </w:pPr>
      <w:r w:rsidRPr="004054DC">
        <w:rPr>
          <w:b/>
          <w:bCs/>
          <w:i/>
          <w:iCs/>
        </w:rPr>
        <w:t xml:space="preserve"> Data for global and regional monitoring</w:t>
      </w:r>
    </w:p>
    <w:p w:rsidR="004054DC" w:rsidRPr="004054DC" w:rsidRDefault="004054DC" w:rsidP="004054DC">
      <w:pPr>
        <w:spacing w:after="240"/>
        <w:ind w:firstLine="442"/>
      </w:pPr>
      <w:r w:rsidRPr="004054DC">
        <w:t xml:space="preserve">The OECD has been collecting R&amp;D data for member countries on a regular basis since the early 1960s. This currently also includes a number of partner economies. </w:t>
      </w:r>
      <w:hyperlink r:id="rId14" w:history="1">
        <w:r w:rsidRPr="004054DC">
          <w:rPr>
            <w:color w:val="0000FF" w:themeColor="hyperlink"/>
            <w:u w:val="single"/>
          </w:rPr>
          <w:t>www.oecd.org/sti/msti.htm</w:t>
        </w:r>
      </w:hyperlink>
      <w:r w:rsidRPr="004054DC">
        <w:t xml:space="preserve">. The OECD currently collects data on human and financial resources devoted to R&amp;D through a questionnaire to countries jointly implemented with Eurostat (the statistical office of the European Union). </w:t>
      </w:r>
    </w:p>
    <w:p w:rsidR="004054DC" w:rsidRPr="004054DC" w:rsidRDefault="004054DC" w:rsidP="004054DC">
      <w:pPr>
        <w:spacing w:after="240"/>
        <w:ind w:firstLine="442"/>
      </w:pPr>
      <w:r w:rsidRPr="004054DC">
        <w:t xml:space="preserve">The UNESCO Institute for Statistics (UIS) releases data on the human and financial resources devoted to R&amp;D for 152 countries and territories </w:t>
      </w:r>
      <w:hyperlink r:id="rId15" w:history="1">
        <w:r w:rsidRPr="004054DC">
          <w:rPr>
            <w:color w:val="0000FF" w:themeColor="hyperlink"/>
            <w:u w:val="single"/>
          </w:rPr>
          <w:t>http://data.uis.unesco.org/Index.aspx?queryid=115</w:t>
        </w:r>
      </w:hyperlink>
      <w:r w:rsidRPr="004054DC">
        <w:t xml:space="preserve">. The data were collected through the Institute’s survey on statistics of R&amp;D, which is conducted every two years. Data for countries that are members of the Organisation for Economic Co-operation and Development (OECD), and the European Union are collected from the OECD and Eurostat. The UIS has </w:t>
      </w:r>
      <w:r w:rsidRPr="004054DC">
        <w:lastRenderedPageBreak/>
        <w:t>data-sharing agreements with </w:t>
      </w:r>
      <w:hyperlink r:id="rId16" w:history="1">
        <w:r w:rsidRPr="004054DC">
          <w:rPr>
            <w:color w:val="0000FF" w:themeColor="hyperlink"/>
            <w:u w:val="single"/>
          </w:rPr>
          <w:t>RICYT</w:t>
        </w:r>
      </w:hyperlink>
      <w:r w:rsidRPr="004054DC">
        <w:t> (the Latin American Network on Science and Technology Indicators) and with the African Union (AU) NEPAD Planning and Coordinating Agency (NPCA).</w:t>
      </w:r>
    </w:p>
    <w:p w:rsidR="004054DC" w:rsidRPr="004054DC" w:rsidRDefault="004054DC" w:rsidP="004054DC">
      <w:pPr>
        <w:keepNext/>
        <w:spacing w:before="100" w:beforeAutospacing="1" w:after="100" w:afterAutospacing="1"/>
        <w:outlineLvl w:val="2"/>
        <w:rPr>
          <w:b/>
          <w:bCs/>
          <w:i/>
          <w:iCs/>
        </w:rPr>
      </w:pPr>
      <w:r w:rsidRPr="004054DC">
        <w:rPr>
          <w:b/>
          <w:bCs/>
          <w:i/>
          <w:iCs/>
        </w:rPr>
        <w:t>Supplementary information</w:t>
      </w:r>
    </w:p>
    <w:p w:rsidR="004054DC" w:rsidRPr="004054DC" w:rsidRDefault="004054DC" w:rsidP="004054DC">
      <w:pPr>
        <w:spacing w:after="240"/>
        <w:ind w:firstLine="442"/>
      </w:pPr>
      <w:r w:rsidRPr="004054DC">
        <w:t xml:space="preserve">Detailed OECD R&amp;D data and information on sources and methods used by countries reporting data to OECD. </w:t>
      </w:r>
      <w:hyperlink r:id="rId17" w:history="1">
        <w:r w:rsidRPr="004054DC">
          <w:rPr>
            <w:color w:val="0000FF" w:themeColor="hyperlink"/>
            <w:u w:val="single"/>
          </w:rPr>
          <w:t>www.oecd.org/sti/rds</w:t>
        </w:r>
      </w:hyperlink>
      <w:r w:rsidRPr="004054DC">
        <w:t xml:space="preserve"> </w:t>
      </w:r>
    </w:p>
    <w:p w:rsidR="004054DC" w:rsidRPr="004054DC" w:rsidRDefault="004054DC" w:rsidP="004054DC">
      <w:pPr>
        <w:keepNext/>
        <w:spacing w:before="100" w:beforeAutospacing="1" w:after="100" w:afterAutospacing="1"/>
        <w:outlineLvl w:val="2"/>
        <w:rPr>
          <w:b/>
          <w:bCs/>
          <w:i/>
          <w:iCs/>
        </w:rPr>
      </w:pPr>
      <w:r w:rsidRPr="004054DC">
        <w:rPr>
          <w:b/>
          <w:bCs/>
          <w:i/>
          <w:iCs/>
        </w:rPr>
        <w:t>References</w:t>
      </w:r>
    </w:p>
    <w:p w:rsidR="004054DC" w:rsidRPr="004054DC" w:rsidRDefault="004054DC" w:rsidP="004054DC">
      <w:pPr>
        <w:spacing w:before="100" w:beforeAutospacing="1" w:after="100" w:afterAutospacing="1"/>
        <w:ind w:left="567" w:hanging="567"/>
        <w:jc w:val="left"/>
      </w:pPr>
      <w:r w:rsidRPr="004054DC">
        <w:t>OECD (2002), Frascati Manual, 6</w:t>
      </w:r>
      <w:r w:rsidRPr="004054DC">
        <w:rPr>
          <w:vertAlign w:val="superscript"/>
        </w:rPr>
        <w:t>th</w:t>
      </w:r>
      <w:r w:rsidRPr="004054DC">
        <w:t xml:space="preserve"> edition. To be replaced by a 7</w:t>
      </w:r>
      <w:r w:rsidRPr="004054DC">
        <w:rPr>
          <w:vertAlign w:val="superscript"/>
        </w:rPr>
        <w:t>th</w:t>
      </w:r>
      <w:r w:rsidRPr="004054DC">
        <w:t xml:space="preserve"> edition to be published in October 2015. OECD Publishing, Paris. </w:t>
      </w:r>
    </w:p>
    <w:p w:rsidR="004054DC" w:rsidRPr="004054DC" w:rsidRDefault="004054DC" w:rsidP="004054DC">
      <w:pPr>
        <w:spacing w:before="100" w:beforeAutospacing="1" w:after="100" w:afterAutospacing="1"/>
        <w:ind w:left="567" w:hanging="567"/>
        <w:jc w:val="left"/>
      </w:pPr>
      <w:r w:rsidRPr="004054DC">
        <w:t>OECD (2014), National R&amp;D spending targets and gap with current levels of GERD intensity, 2014: As a % of GDP, in </w:t>
      </w:r>
      <w:r w:rsidRPr="004054DC">
        <w:rPr>
          <w:i/>
          <w:iCs/>
        </w:rPr>
        <w:t>OECD Science, Technology and Industry Outlook 2014</w:t>
      </w:r>
      <w:r w:rsidRPr="004054DC">
        <w:t>, OECD Publishing, Paris.</w:t>
      </w:r>
      <w:r w:rsidRPr="004054DC">
        <w:br/>
        <w:t>DOI: </w:t>
      </w:r>
      <w:hyperlink r:id="rId18" w:history="1">
        <w:r w:rsidRPr="004054DC">
          <w:rPr>
            <w:color w:val="0000FF" w:themeColor="hyperlink"/>
            <w:u w:val="single"/>
          </w:rPr>
          <w:t>http://dx.doi.org/10.1787/sti_outlook-2014-graph30-en</w:t>
        </w:r>
      </w:hyperlink>
      <w:r w:rsidRPr="004054DC">
        <w:t xml:space="preserve">  </w:t>
      </w:r>
    </w:p>
    <w:p w:rsidR="004054DC" w:rsidRDefault="004054DC">
      <w:pPr>
        <w:tabs>
          <w:tab w:val="clear" w:pos="850"/>
          <w:tab w:val="clear" w:pos="1191"/>
          <w:tab w:val="clear" w:pos="1531"/>
        </w:tabs>
        <w:jc w:val="left"/>
      </w:pPr>
      <w:r>
        <w:br w:type="page"/>
      </w:r>
    </w:p>
    <w:p w:rsidR="004054DC" w:rsidRPr="004054DC" w:rsidRDefault="004054DC" w:rsidP="004054DC">
      <w:pPr>
        <w:keepNext/>
        <w:spacing w:before="1200" w:after="720"/>
        <w:jc w:val="center"/>
        <w:outlineLvl w:val="0"/>
        <w:rPr>
          <w:b/>
          <w:bCs/>
          <w:caps/>
          <w:kern w:val="28"/>
        </w:rPr>
      </w:pPr>
      <w:r w:rsidRPr="004054DC">
        <w:rPr>
          <w:b/>
          <w:bCs/>
          <w:caps/>
          <w:kern w:val="28"/>
        </w:rPr>
        <w:lastRenderedPageBreak/>
        <w:t xml:space="preserve">Effective tax rates on energy use </w:t>
      </w:r>
    </w:p>
    <w:p w:rsidR="004054DC" w:rsidRPr="004054DC" w:rsidRDefault="004054DC" w:rsidP="004054DC">
      <w:pPr>
        <w:keepNext/>
        <w:spacing w:before="240" w:after="240"/>
        <w:outlineLvl w:val="2"/>
        <w:rPr>
          <w:b/>
          <w:bCs/>
          <w:i/>
          <w:iCs/>
        </w:rPr>
      </w:pPr>
      <w:r w:rsidRPr="004054DC">
        <w:rPr>
          <w:b/>
          <w:bCs/>
          <w:i/>
          <w:iCs/>
        </w:rPr>
        <w:t>Goal and targets addressed</w:t>
      </w:r>
    </w:p>
    <w:p w:rsidR="004054DC" w:rsidRPr="004054DC" w:rsidRDefault="004054DC" w:rsidP="004054DC">
      <w:pPr>
        <w:spacing w:after="240"/>
        <w:ind w:firstLine="442"/>
        <w:rPr>
          <w:lang w:eastAsia="en-GB"/>
        </w:rPr>
      </w:pPr>
      <w:r w:rsidRPr="004054DC">
        <w:rPr>
          <w:lang w:eastAsia="en-GB"/>
        </w:rPr>
        <w:t>Goal 8: Promote sustained, inclusive and sustainable economic growth, full and productive employment and decent work for all</w:t>
      </w:r>
    </w:p>
    <w:p w:rsidR="004054DC" w:rsidRPr="004054DC" w:rsidRDefault="004054DC" w:rsidP="004054DC">
      <w:pPr>
        <w:spacing w:after="240"/>
        <w:ind w:firstLine="442"/>
        <w:rPr>
          <w:lang w:eastAsia="en-GB"/>
        </w:rPr>
      </w:pPr>
      <w:r w:rsidRPr="004054DC">
        <w:rPr>
          <w:lang w:eastAsia="en-GB"/>
        </w:rPr>
        <w:t>Goal 13: Take urgent action to combat climate change and its impacts (Acknowledging that the United Nations Framework Convention on Climate Change is the primary international, intergovernmental forum for negotiating the global response to climate change.)</w:t>
      </w:r>
    </w:p>
    <w:p w:rsidR="004054DC" w:rsidRPr="004054DC" w:rsidRDefault="004054DC" w:rsidP="004054DC">
      <w:pPr>
        <w:spacing w:after="240"/>
        <w:ind w:firstLine="442"/>
        <w:rPr>
          <w:lang w:eastAsia="en-GB"/>
        </w:rPr>
      </w:pPr>
      <w:r w:rsidRPr="004054DC">
        <w:rPr>
          <w:lang w:eastAsia="en-GB"/>
        </w:rPr>
        <w:t>Target 8.4: Improve progressively, through 2030, global resource efficiency in consumption and production and endeavour to decouple economic growth from environmental degradation, in accordance with the 10-year framework of programmes for sustainable consumption and production, with developed countries taking the lead</w:t>
      </w:r>
    </w:p>
    <w:p w:rsidR="004054DC" w:rsidRPr="004054DC" w:rsidRDefault="004054DC" w:rsidP="004054DC">
      <w:pPr>
        <w:spacing w:after="240"/>
        <w:ind w:firstLine="442"/>
        <w:rPr>
          <w:lang w:eastAsia="en-GB"/>
        </w:rPr>
      </w:pPr>
      <w:r w:rsidRPr="004054DC">
        <w:rPr>
          <w:lang w:eastAsia="en-GB"/>
        </w:rPr>
        <w:t>Target 13.2 Integrate climate change measures into national policies, strategies and planning</w:t>
      </w:r>
    </w:p>
    <w:p w:rsidR="004054DC" w:rsidRPr="004054DC" w:rsidRDefault="004054DC" w:rsidP="004054DC">
      <w:pPr>
        <w:keepNext/>
        <w:spacing w:before="240" w:after="240"/>
        <w:outlineLvl w:val="2"/>
        <w:rPr>
          <w:b/>
          <w:bCs/>
          <w:i/>
          <w:iCs/>
        </w:rPr>
      </w:pPr>
      <w:r w:rsidRPr="004054DC">
        <w:rPr>
          <w:b/>
          <w:bCs/>
          <w:i/>
          <w:iCs/>
        </w:rPr>
        <w:t>Indicators</w:t>
      </w:r>
    </w:p>
    <w:p w:rsidR="004054DC" w:rsidRPr="004054DC" w:rsidRDefault="004054DC" w:rsidP="004054DC">
      <w:pPr>
        <w:spacing w:after="240"/>
        <w:ind w:firstLine="442"/>
      </w:pPr>
      <w:r w:rsidRPr="004054DC">
        <w:t>Effective tax rates on energy use in %</w:t>
      </w:r>
    </w:p>
    <w:p w:rsidR="004054DC" w:rsidRPr="004054DC" w:rsidRDefault="004054DC" w:rsidP="004054DC">
      <w:pPr>
        <w:keepNext/>
        <w:spacing w:before="240" w:after="240"/>
        <w:outlineLvl w:val="2"/>
        <w:rPr>
          <w:b/>
          <w:bCs/>
          <w:i/>
          <w:iCs/>
        </w:rPr>
      </w:pPr>
      <w:r w:rsidRPr="004054DC">
        <w:rPr>
          <w:b/>
          <w:bCs/>
          <w:i/>
          <w:iCs/>
        </w:rPr>
        <w:t>Definition and method of computation</w:t>
      </w:r>
    </w:p>
    <w:p w:rsidR="004054DC" w:rsidRPr="004054DC" w:rsidRDefault="004054DC" w:rsidP="004054DC">
      <w:pPr>
        <w:spacing w:after="240"/>
        <w:ind w:firstLine="442"/>
      </w:pPr>
      <w:r w:rsidRPr="004054DC">
        <w:t>The indicators are based on detailed estimates of effective tax rates on all sources and users of energy, combined with energy use information, on a highly disaggregated basis.</w:t>
      </w:r>
    </w:p>
    <w:p w:rsidR="004054DC" w:rsidRPr="004054DC" w:rsidRDefault="004054DC" w:rsidP="004054DC">
      <w:pPr>
        <w:spacing w:after="240"/>
        <w:ind w:firstLine="442"/>
      </w:pPr>
      <w:r w:rsidRPr="004054DC">
        <w:t>Effective tax rates are calculated in terms of both the energy content and the carbon content of each fuel, in EUR. Tax rates, which are set in monetary units per physical quantity of fuel, are re-calculated as effective tax rates per gigajoule of energy and per tonne of CO2 emissions.</w:t>
      </w:r>
    </w:p>
    <w:p w:rsidR="004054DC" w:rsidRPr="004054DC" w:rsidRDefault="004054DC" w:rsidP="004054DC">
      <w:pPr>
        <w:spacing w:after="240"/>
        <w:ind w:firstLine="442"/>
      </w:pPr>
      <w:r w:rsidRPr="004054DC">
        <w:t xml:space="preserve">A detailed description of the methodology can be found in </w:t>
      </w:r>
      <w:r w:rsidRPr="004054DC">
        <w:rPr>
          <w:i/>
        </w:rPr>
        <w:t>OECD (2013) Taxing Energy Use</w:t>
      </w:r>
      <w:r w:rsidRPr="004054DC">
        <w:t>.</w:t>
      </w:r>
    </w:p>
    <w:p w:rsidR="004054DC" w:rsidRPr="004054DC" w:rsidRDefault="004054DC" w:rsidP="004054DC">
      <w:pPr>
        <w:keepNext/>
        <w:spacing w:before="240" w:after="240"/>
        <w:outlineLvl w:val="2"/>
        <w:rPr>
          <w:b/>
          <w:bCs/>
          <w:i/>
          <w:iCs/>
        </w:rPr>
      </w:pPr>
      <w:r w:rsidRPr="004054DC">
        <w:rPr>
          <w:b/>
          <w:bCs/>
          <w:i/>
          <w:iCs/>
        </w:rPr>
        <w:t>Rationale and interpretation</w:t>
      </w:r>
    </w:p>
    <w:p w:rsidR="004054DC" w:rsidRPr="004054DC" w:rsidRDefault="004054DC" w:rsidP="004054DC">
      <w:pPr>
        <w:spacing w:after="240"/>
        <w:ind w:firstLine="442"/>
      </w:pPr>
      <w:r w:rsidRPr="004054DC">
        <w:t>The taxation of energy is a key policy instrument that, whether intended or not, has a significant impact on energy prices, energy usage and the resulting environmental impacts.</w:t>
      </w:r>
    </w:p>
    <w:p w:rsidR="004054DC" w:rsidRPr="004054DC" w:rsidRDefault="004054DC" w:rsidP="004054DC">
      <w:pPr>
        <w:spacing w:after="240"/>
        <w:ind w:firstLine="442"/>
      </w:pPr>
      <w:r w:rsidRPr="004054DC">
        <w:t>The indicators provide detailed profiles of a country’s tax settings and energy use, as well as comparable cross-country statistics on energy tax rates, on an economy-wide basis, or for different combinations of fuels and users (e.g. comparing tax rates on transport fuels, or coal vs oil, or diesel vs gasoline, etc.).</w:t>
      </w:r>
    </w:p>
    <w:p w:rsidR="004054DC" w:rsidRPr="004054DC" w:rsidRDefault="004054DC" w:rsidP="004054DC">
      <w:pPr>
        <w:spacing w:after="240"/>
        <w:ind w:firstLine="442"/>
      </w:pPr>
      <w:r w:rsidRPr="004054DC">
        <w:t>The indicators reveal wide variations in effective tax rates, both across countries, and within countries between different types of fuel (diesel, natural gas, coal, etc.), even when they are used for similar purposes. These uneven price signals with respect to different energy products, and low rates and exemptions on some of them, result in wide differences (and often considerable weakness) in the tax disincentives to emit carbon dioxide (CO2). Since CO2 has broadly the same impact on atmospheric greenhouse gas concentrations however and wherever it is emitted, these differences underline the fragmentation in current efforts to mitigate climate change.</w:t>
      </w:r>
    </w:p>
    <w:p w:rsidR="004054DC" w:rsidRPr="004054DC" w:rsidRDefault="004054DC" w:rsidP="004054DC">
      <w:pPr>
        <w:keepNext/>
        <w:spacing w:before="240" w:after="240"/>
        <w:outlineLvl w:val="2"/>
        <w:rPr>
          <w:b/>
          <w:bCs/>
          <w:i/>
          <w:iCs/>
        </w:rPr>
      </w:pPr>
      <w:r w:rsidRPr="004054DC">
        <w:rPr>
          <w:b/>
          <w:bCs/>
          <w:i/>
          <w:iCs/>
        </w:rPr>
        <w:lastRenderedPageBreak/>
        <w:t>Sources and data collection</w:t>
      </w:r>
    </w:p>
    <w:p w:rsidR="004054DC" w:rsidRPr="004054DC" w:rsidRDefault="004054DC" w:rsidP="004054DC">
      <w:pPr>
        <w:spacing w:after="240"/>
        <w:ind w:firstLine="442"/>
      </w:pPr>
      <w:r w:rsidRPr="004054DC">
        <w:t>OECD Database on Instruments Used for Environmental Policy and Natural Resources Management</w:t>
      </w:r>
    </w:p>
    <w:p w:rsidR="004054DC" w:rsidRPr="004054DC" w:rsidRDefault="004054DC" w:rsidP="004054DC">
      <w:pPr>
        <w:spacing w:after="240"/>
        <w:ind w:firstLine="442"/>
      </w:pPr>
      <w:r w:rsidRPr="004054DC">
        <w:t>Inventory of Estimated Budgetary Support and Tax Expenditures for Fossil Fuels</w:t>
      </w:r>
    </w:p>
    <w:p w:rsidR="004054DC" w:rsidRPr="004054DC" w:rsidRDefault="004054DC" w:rsidP="004054DC">
      <w:pPr>
        <w:spacing w:after="240"/>
        <w:ind w:firstLine="442"/>
      </w:pPr>
      <w:r w:rsidRPr="004054DC">
        <w:t>Excise Duty Tables (European Commission).</w:t>
      </w:r>
    </w:p>
    <w:p w:rsidR="004054DC" w:rsidRPr="004054DC" w:rsidRDefault="004054DC" w:rsidP="004054DC">
      <w:pPr>
        <w:spacing w:after="240"/>
        <w:ind w:firstLine="442"/>
      </w:pPr>
      <w:r w:rsidRPr="004054DC">
        <w:t xml:space="preserve">Country-specific sources. </w:t>
      </w:r>
    </w:p>
    <w:p w:rsidR="004054DC" w:rsidRPr="004054DC" w:rsidRDefault="004054DC" w:rsidP="004054DC">
      <w:pPr>
        <w:keepNext/>
        <w:spacing w:before="240" w:after="240"/>
        <w:outlineLvl w:val="2"/>
        <w:rPr>
          <w:b/>
          <w:bCs/>
          <w:i/>
          <w:iCs/>
        </w:rPr>
      </w:pPr>
      <w:r w:rsidRPr="004054DC">
        <w:rPr>
          <w:b/>
          <w:bCs/>
          <w:i/>
          <w:iCs/>
        </w:rPr>
        <w:t>Disaggregation</w:t>
      </w:r>
    </w:p>
    <w:p w:rsidR="004054DC" w:rsidRPr="004054DC" w:rsidRDefault="004054DC" w:rsidP="004054DC">
      <w:pPr>
        <w:spacing w:after="240"/>
        <w:ind w:firstLine="442"/>
      </w:pPr>
      <w:r w:rsidRPr="004054DC">
        <w:t>Highly disaggregated by energy source and use</w:t>
      </w:r>
    </w:p>
    <w:p w:rsidR="004054DC" w:rsidRPr="004054DC" w:rsidRDefault="004054DC" w:rsidP="004054DC">
      <w:pPr>
        <w:keepNext/>
        <w:spacing w:before="240" w:after="240"/>
        <w:outlineLvl w:val="2"/>
        <w:rPr>
          <w:b/>
          <w:bCs/>
          <w:i/>
          <w:iCs/>
        </w:rPr>
      </w:pPr>
      <w:r w:rsidRPr="004054DC">
        <w:rPr>
          <w:b/>
          <w:bCs/>
          <w:i/>
          <w:iCs/>
        </w:rPr>
        <w:t>Comments and limitations</w:t>
      </w:r>
    </w:p>
    <w:p w:rsidR="004054DC" w:rsidRPr="004054DC" w:rsidRDefault="004054DC" w:rsidP="004054DC">
      <w:pPr>
        <w:spacing w:after="240"/>
        <w:ind w:firstLine="442"/>
      </w:pPr>
      <w:r w:rsidRPr="004054DC">
        <w:t>-</w:t>
      </w:r>
    </w:p>
    <w:p w:rsidR="004054DC" w:rsidRPr="004054DC" w:rsidRDefault="004054DC" w:rsidP="004054DC">
      <w:pPr>
        <w:keepNext/>
        <w:spacing w:before="240" w:after="240"/>
        <w:outlineLvl w:val="2"/>
        <w:rPr>
          <w:b/>
          <w:bCs/>
          <w:i/>
          <w:iCs/>
        </w:rPr>
      </w:pPr>
      <w:r w:rsidRPr="004054DC">
        <w:rPr>
          <w:b/>
          <w:bCs/>
          <w:i/>
          <w:iCs/>
        </w:rPr>
        <w:t>Gender equality issues</w:t>
      </w:r>
    </w:p>
    <w:p w:rsidR="004054DC" w:rsidRPr="004054DC" w:rsidRDefault="004054DC" w:rsidP="004054DC">
      <w:pPr>
        <w:spacing w:after="240"/>
        <w:ind w:firstLine="442"/>
      </w:pPr>
      <w:r w:rsidRPr="004054DC">
        <w:t>-</w:t>
      </w:r>
    </w:p>
    <w:p w:rsidR="004054DC" w:rsidRPr="004054DC" w:rsidRDefault="004054DC" w:rsidP="004054DC">
      <w:pPr>
        <w:keepNext/>
        <w:spacing w:before="240" w:after="240"/>
        <w:outlineLvl w:val="2"/>
        <w:rPr>
          <w:b/>
          <w:bCs/>
          <w:i/>
          <w:iCs/>
        </w:rPr>
      </w:pPr>
      <w:r w:rsidRPr="004054DC">
        <w:rPr>
          <w:b/>
          <w:bCs/>
          <w:i/>
          <w:iCs/>
        </w:rPr>
        <w:t>Data for global and regional monitoring</w:t>
      </w:r>
    </w:p>
    <w:p w:rsidR="004054DC" w:rsidRPr="004054DC" w:rsidRDefault="004054DC" w:rsidP="004054DC">
      <w:pPr>
        <w:spacing w:after="240"/>
        <w:ind w:firstLine="442"/>
      </w:pPr>
      <w:r w:rsidRPr="004054DC">
        <w:t>Country coverage: all OECD countries; plus 7 other G20 countries (Argentina, Brazil, China, India, Indonesia, Russia and South Africa).</w:t>
      </w:r>
    </w:p>
    <w:p w:rsidR="004054DC" w:rsidRPr="004054DC" w:rsidRDefault="004054DC" w:rsidP="004054DC">
      <w:pPr>
        <w:spacing w:after="240"/>
        <w:ind w:firstLine="442"/>
      </w:pPr>
      <w:r w:rsidRPr="004054DC">
        <w:t>Country coverage represents 80% of world energy and 84% of global carbon emissions from energy..</w:t>
      </w:r>
    </w:p>
    <w:p w:rsidR="004054DC" w:rsidRPr="004054DC" w:rsidRDefault="004054DC" w:rsidP="004054DC">
      <w:pPr>
        <w:keepNext/>
        <w:spacing w:before="240" w:after="240"/>
        <w:outlineLvl w:val="2"/>
        <w:rPr>
          <w:b/>
          <w:bCs/>
          <w:i/>
          <w:iCs/>
        </w:rPr>
      </w:pPr>
      <w:r w:rsidRPr="004054DC">
        <w:rPr>
          <w:b/>
          <w:bCs/>
          <w:i/>
          <w:iCs/>
        </w:rPr>
        <w:t>References</w:t>
      </w:r>
    </w:p>
    <w:p w:rsidR="004054DC" w:rsidRPr="004054DC" w:rsidRDefault="004054DC" w:rsidP="004054DC">
      <w:pPr>
        <w:spacing w:after="240"/>
        <w:ind w:firstLine="442"/>
      </w:pPr>
      <w:r w:rsidRPr="004054DC">
        <w:t xml:space="preserve">2013 publication: </w:t>
      </w:r>
      <w:hyperlink r:id="rId19" w:history="1">
        <w:r w:rsidRPr="004054DC">
          <w:rPr>
            <w:color w:val="0000FF" w:themeColor="hyperlink"/>
            <w:u w:val="single"/>
          </w:rPr>
          <w:t>http://www.oecd.org/tax/tax-policy/taxingenergyuse.htm</w:t>
        </w:r>
      </w:hyperlink>
      <w:r w:rsidRPr="004054DC">
        <w:t xml:space="preserve"> </w:t>
      </w:r>
    </w:p>
    <w:p w:rsidR="004054DC" w:rsidRPr="004054DC" w:rsidRDefault="004054DC" w:rsidP="004054DC">
      <w:pPr>
        <w:spacing w:after="240"/>
        <w:ind w:firstLine="442"/>
      </w:pPr>
      <w:r w:rsidRPr="004054DC">
        <w:t xml:space="preserve">2015 publication: forthcoming July 2015 </w:t>
      </w:r>
    </w:p>
    <w:p w:rsidR="004054DC" w:rsidRDefault="004054DC">
      <w:pPr>
        <w:tabs>
          <w:tab w:val="clear" w:pos="850"/>
          <w:tab w:val="clear" w:pos="1191"/>
          <w:tab w:val="clear" w:pos="1531"/>
        </w:tabs>
        <w:jc w:val="left"/>
      </w:pPr>
      <w:r>
        <w:br w:type="page"/>
      </w:r>
    </w:p>
    <w:p w:rsidR="004054DC" w:rsidRPr="004054DC" w:rsidRDefault="004054DC" w:rsidP="004054DC">
      <w:pPr>
        <w:keepNext/>
        <w:spacing w:before="1200" w:after="720"/>
        <w:jc w:val="center"/>
        <w:outlineLvl w:val="0"/>
        <w:rPr>
          <w:b/>
          <w:bCs/>
          <w:caps/>
          <w:kern w:val="28"/>
        </w:rPr>
      </w:pPr>
      <w:r w:rsidRPr="004054DC">
        <w:rPr>
          <w:b/>
          <w:bCs/>
          <w:caps/>
          <w:kern w:val="28"/>
        </w:rPr>
        <w:lastRenderedPageBreak/>
        <w:t>QUALITY OF THE WORKING ENVIRONMENT</w:t>
      </w:r>
    </w:p>
    <w:p w:rsidR="004054DC" w:rsidRPr="004054DC" w:rsidRDefault="004054DC" w:rsidP="004054DC">
      <w:pPr>
        <w:keepNext/>
        <w:spacing w:before="240" w:after="240"/>
        <w:outlineLvl w:val="2"/>
        <w:rPr>
          <w:b/>
          <w:bCs/>
          <w:i/>
          <w:iCs/>
        </w:rPr>
      </w:pPr>
      <w:r w:rsidRPr="004054DC">
        <w:rPr>
          <w:b/>
          <w:bCs/>
          <w:i/>
          <w:iCs/>
        </w:rPr>
        <w:t>Goal and target addressed</w:t>
      </w:r>
    </w:p>
    <w:p w:rsidR="004054DC" w:rsidRPr="004054DC" w:rsidRDefault="004054DC" w:rsidP="004054DC">
      <w:pPr>
        <w:spacing w:after="240"/>
        <w:ind w:firstLine="442"/>
      </w:pPr>
      <w:r w:rsidRPr="004054DC">
        <w:t>Goal 8: Promote sustained, inclusive and sustainable economic growth, full and productive employment and decent work for all</w:t>
      </w:r>
    </w:p>
    <w:p w:rsidR="004054DC" w:rsidRPr="004054DC" w:rsidRDefault="004054DC" w:rsidP="004054DC">
      <w:pPr>
        <w:spacing w:after="240"/>
        <w:ind w:firstLine="442"/>
      </w:pPr>
      <w:r w:rsidRPr="004054DC">
        <w:t>Target 8.8: protect labour rights and promote safe and secure working environment of all workers, including migrant workers, particularly women migrants and those in precarious employment</w:t>
      </w:r>
    </w:p>
    <w:p w:rsidR="004054DC" w:rsidRPr="004054DC" w:rsidRDefault="004054DC" w:rsidP="004054DC">
      <w:pPr>
        <w:keepNext/>
        <w:spacing w:before="240" w:after="240"/>
        <w:outlineLvl w:val="2"/>
        <w:rPr>
          <w:b/>
          <w:bCs/>
          <w:i/>
          <w:iCs/>
        </w:rPr>
      </w:pPr>
      <w:r w:rsidRPr="004054DC">
        <w:rPr>
          <w:b/>
          <w:bCs/>
          <w:i/>
          <w:iCs/>
        </w:rPr>
        <w:t>Indicator</w:t>
      </w:r>
    </w:p>
    <w:p w:rsidR="004054DC" w:rsidRPr="004054DC" w:rsidRDefault="004054DC" w:rsidP="004054DC">
      <w:pPr>
        <w:numPr>
          <w:ilvl w:val="0"/>
          <w:numId w:val="28"/>
        </w:numPr>
        <w:spacing w:after="240"/>
      </w:pPr>
      <w:r w:rsidRPr="004054DC">
        <w:t>Incidence of job strain</w:t>
      </w:r>
    </w:p>
    <w:p w:rsidR="004054DC" w:rsidRPr="004054DC" w:rsidRDefault="004054DC" w:rsidP="004054DC">
      <w:pPr>
        <w:keepNext/>
        <w:spacing w:before="240" w:after="240"/>
        <w:outlineLvl w:val="2"/>
        <w:rPr>
          <w:b/>
          <w:bCs/>
          <w:i/>
          <w:iCs/>
        </w:rPr>
      </w:pPr>
      <w:r w:rsidRPr="004054DC">
        <w:rPr>
          <w:b/>
          <w:bCs/>
          <w:i/>
          <w:iCs/>
        </w:rPr>
        <w:t>Definition and method of computation</w:t>
      </w:r>
    </w:p>
    <w:p w:rsidR="004054DC" w:rsidRPr="004054DC" w:rsidRDefault="004054DC" w:rsidP="004054DC">
      <w:pPr>
        <w:spacing w:after="240"/>
        <w:ind w:firstLine="442"/>
        <w:rPr>
          <w:lang w:eastAsia="en-US"/>
        </w:rPr>
      </w:pPr>
      <w:r w:rsidRPr="004054DC">
        <w:rPr>
          <w:i/>
          <w:lang w:eastAsia="en-US"/>
        </w:rPr>
        <w:t>Definition.</w:t>
      </w:r>
      <w:r w:rsidRPr="004054DC">
        <w:rPr>
          <w:lang w:eastAsia="en-US"/>
        </w:rPr>
        <w:t xml:space="preserve"> The incidence of </w:t>
      </w:r>
      <w:r w:rsidRPr="004054DC">
        <w:rPr>
          <w:i/>
          <w:lang w:eastAsia="en-US"/>
        </w:rPr>
        <w:t>job strain</w:t>
      </w:r>
      <w:r w:rsidRPr="004054DC">
        <w:rPr>
          <w:lang w:eastAsia="en-US"/>
        </w:rPr>
        <w:t xml:space="preserve"> among workers is defined as the share of workers who face more job demands than the number of resources they have at their disposal: cumulative and compensating effects of work stressors and job resources are thus captured by the indicator.</w:t>
      </w:r>
    </w:p>
    <w:p w:rsidR="004054DC" w:rsidRPr="004054DC" w:rsidRDefault="004054DC" w:rsidP="004054DC">
      <w:pPr>
        <w:spacing w:after="240"/>
        <w:ind w:firstLine="442"/>
        <w:rPr>
          <w:lang w:eastAsia="en-US"/>
        </w:rPr>
      </w:pPr>
      <w:r w:rsidRPr="004054DC">
        <w:rPr>
          <w:i/>
          <w:lang w:eastAsia="en-US"/>
        </w:rPr>
        <w:t xml:space="preserve">Method. </w:t>
      </w:r>
      <w:r w:rsidRPr="004054DC">
        <w:rPr>
          <w:lang w:eastAsia="en-US"/>
        </w:rPr>
        <w:t>Job stressors are those</w:t>
      </w:r>
      <w:r w:rsidRPr="004054DC">
        <w:rPr>
          <w:i/>
          <w:lang w:eastAsia="en-US"/>
        </w:rPr>
        <w:t xml:space="preserve"> </w:t>
      </w:r>
      <w:r w:rsidRPr="004054DC">
        <w:rPr>
          <w:lang w:eastAsia="en-US"/>
        </w:rPr>
        <w:t>aspects of work that can potentially have a detrimental impact on workers’ physical and/or mental health and include work intensity, physical and emotional risk factors, intimidation and discrimination at work. Job resources that are found to help compensate the negative effect of job stressors include work autonomy, task discretion, learning and training opportunities, and supportive colleagues and management. This information, as well as potential combinations of job stressors and job resources can currently be found in Social Surveys. The incidence of job strain is  calculated by considering the number of stressors and the number of resources, then computing the proportion of workers whose job stressors exceed the number of resources available to them within all workers. The OECD’s overall job strain indicator considers two job stressors (namely time pressure and physical health risk factors) and two job resources (work autonomy and opportunity for learning, and good workplace relations) and is defined as the share of workers who face either two job stressors and have one resource at most, or face one job stressor but have no job resource (Cazes et al, 2015)</w:t>
      </w:r>
      <w:r w:rsidRPr="004054DC">
        <w:rPr>
          <w:vertAlign w:val="superscript"/>
          <w:lang w:eastAsia="en-US"/>
        </w:rPr>
        <w:footnoteReference w:id="1"/>
      </w:r>
      <w:r w:rsidRPr="004054DC">
        <w:rPr>
          <w:lang w:eastAsia="en-US"/>
        </w:rPr>
        <w:t xml:space="preserve">. </w:t>
      </w:r>
    </w:p>
    <w:p w:rsidR="004054DC" w:rsidRPr="004054DC" w:rsidRDefault="004054DC" w:rsidP="004054DC">
      <w:pPr>
        <w:keepNext/>
        <w:spacing w:before="240" w:after="240"/>
        <w:outlineLvl w:val="2"/>
        <w:rPr>
          <w:b/>
          <w:bCs/>
          <w:i/>
          <w:iCs/>
        </w:rPr>
      </w:pPr>
      <w:r w:rsidRPr="004054DC">
        <w:rPr>
          <w:b/>
          <w:bCs/>
          <w:i/>
          <w:iCs/>
        </w:rPr>
        <w:t>Rationale and interpretation</w:t>
      </w:r>
    </w:p>
    <w:p w:rsidR="004054DC" w:rsidRPr="004054DC" w:rsidRDefault="004054DC" w:rsidP="004054DC">
      <w:pPr>
        <w:spacing w:after="240"/>
        <w:ind w:firstLine="442"/>
      </w:pPr>
      <w:r w:rsidRPr="004054DC">
        <w:t xml:space="preserve">There is substantial evidence establishing links between the quality of the working environement and individual’s well-being: the literature on occupational health shows for instance how job strain can have detrimental effect on physical and mental health; but good quality of the working environment can also enhance commitment, motivation and workers’ productivity, as well as sustainability of the working careers. The incidence of job strain reflects the extent to which job stressors and job resources are unevenly distributed. When a large share of the jobs are highly demanding but do not offer enough resources, the incidence of job strain is high, and the overall quality of the working environment is poor. Job strain indicator can be broken down to its components (e.g. % of workers who face a specific job stressor, % of </w:t>
      </w:r>
      <w:r w:rsidRPr="004054DC">
        <w:lastRenderedPageBreak/>
        <w:t xml:space="preserve">workers who have a specific job resources etc), as well as be disaggregated by socio-demographic groups, thus allowing identifying inequalities within the working population. </w:t>
      </w:r>
    </w:p>
    <w:p w:rsidR="004054DC" w:rsidRPr="004054DC" w:rsidRDefault="004054DC" w:rsidP="004054DC">
      <w:pPr>
        <w:keepNext/>
        <w:spacing w:before="240" w:after="240"/>
        <w:outlineLvl w:val="2"/>
        <w:rPr>
          <w:b/>
          <w:bCs/>
          <w:i/>
          <w:iCs/>
        </w:rPr>
      </w:pPr>
      <w:r w:rsidRPr="004054DC">
        <w:rPr>
          <w:b/>
          <w:bCs/>
          <w:i/>
          <w:iCs/>
        </w:rPr>
        <w:t>Sources and data collection</w:t>
      </w:r>
    </w:p>
    <w:p w:rsidR="004054DC" w:rsidRPr="004054DC" w:rsidRDefault="004054DC" w:rsidP="004054DC">
      <w:pPr>
        <w:spacing w:after="240"/>
        <w:ind w:firstLine="442"/>
      </w:pPr>
      <w:r w:rsidRPr="004054DC">
        <w:t>Individuals are best sources of information on the quality of the working environment in which they carry out their jobs. Thus, measurement of the quality of the working environment has to rely on survey data. Currently, there are various international surveys that have information on the quality of the working environment (e.g. the European Working Conditions Surveys (EWCS), the European Social Survey (ESS), the International Social Survey Programme (ISSP), Gallup World Poll etc.); however there are remarkable gaps in terms of their thematic and geographical coverage. The OECD has compiled information from two of these surveys (e.g. the 4</w:t>
      </w:r>
      <w:r w:rsidRPr="004054DC">
        <w:rPr>
          <w:vertAlign w:val="superscript"/>
        </w:rPr>
        <w:t>th</w:t>
      </w:r>
      <w:r w:rsidRPr="004054DC">
        <w:t xml:space="preserve"> EWCS and the 3</w:t>
      </w:r>
      <w:r w:rsidRPr="004054DC">
        <w:rPr>
          <w:vertAlign w:val="superscript"/>
        </w:rPr>
        <w:t>rd</w:t>
      </w:r>
      <w:r w:rsidRPr="004054DC">
        <w:t xml:space="preserve"> Work orientations module of the ISSP) and generated measures of quality of the working environment for 32 OECD countries (excluding Chile and Iceland due to lack of comparable information) and 3 non OECD countries (Latvia, Russia and South Africa). While the OECD is not engaged in data collection, it collaborates with other international agencies (e.g. UNECE, ILO, Eurostat and Eurofound) to promote </w:t>
      </w:r>
      <w:r w:rsidRPr="004054DC">
        <w:rPr>
          <w:i/>
        </w:rPr>
        <w:t xml:space="preserve">i.) </w:t>
      </w:r>
      <w:r w:rsidRPr="004054DC">
        <w:t xml:space="preserve">the relevance of the quality of working environment for well-being and sustainable development, </w:t>
      </w:r>
      <w:r w:rsidRPr="004054DC">
        <w:rPr>
          <w:i/>
        </w:rPr>
        <w:t>ii.)</w:t>
      </w:r>
      <w:r w:rsidRPr="004054DC">
        <w:t xml:space="preserve"> the necessity of collection of streamlined data and </w:t>
      </w:r>
      <w:r w:rsidRPr="004054DC">
        <w:rPr>
          <w:i/>
        </w:rPr>
        <w:t>iii.)</w:t>
      </w:r>
      <w:r w:rsidRPr="004054DC">
        <w:t xml:space="preserve"> the best measurement practices that the NSO’s could adopt to collect statistics on the quality of the working environment. </w:t>
      </w:r>
    </w:p>
    <w:p w:rsidR="004054DC" w:rsidRPr="004054DC" w:rsidRDefault="004054DC" w:rsidP="004054DC">
      <w:pPr>
        <w:keepNext/>
        <w:spacing w:before="240" w:after="240"/>
        <w:outlineLvl w:val="2"/>
        <w:rPr>
          <w:b/>
          <w:bCs/>
          <w:i/>
          <w:iCs/>
        </w:rPr>
      </w:pPr>
      <w:r w:rsidRPr="004054DC">
        <w:rPr>
          <w:b/>
          <w:bCs/>
          <w:i/>
          <w:iCs/>
        </w:rPr>
        <w:t>Disaggregation</w:t>
      </w:r>
    </w:p>
    <w:p w:rsidR="004054DC" w:rsidRPr="004054DC" w:rsidRDefault="004054DC" w:rsidP="004054DC">
      <w:pPr>
        <w:spacing w:after="240"/>
        <w:ind w:firstLine="442"/>
      </w:pPr>
      <w:r w:rsidRPr="004054DC">
        <w:t>The data that is compiled by the OECD will be broken down by:</w:t>
      </w:r>
    </w:p>
    <w:p w:rsidR="004054DC" w:rsidRPr="004054DC" w:rsidRDefault="004054DC" w:rsidP="004054DC">
      <w:pPr>
        <w:tabs>
          <w:tab w:val="clear" w:pos="1191"/>
          <w:tab w:val="clear" w:pos="1531"/>
          <w:tab w:val="num" w:pos="850"/>
        </w:tabs>
        <w:spacing w:after="240"/>
        <w:ind w:left="850" w:hanging="408"/>
      </w:pPr>
      <w:r w:rsidRPr="004054DC">
        <w:t>Gender.</w:t>
      </w:r>
    </w:p>
    <w:p w:rsidR="004054DC" w:rsidRPr="004054DC" w:rsidRDefault="004054DC" w:rsidP="004054DC">
      <w:pPr>
        <w:tabs>
          <w:tab w:val="clear" w:pos="1191"/>
          <w:tab w:val="clear" w:pos="1531"/>
          <w:tab w:val="num" w:pos="850"/>
        </w:tabs>
        <w:spacing w:after="240"/>
        <w:ind w:left="850" w:hanging="408"/>
      </w:pPr>
      <w:r w:rsidRPr="004054DC">
        <w:t xml:space="preserve">Age, i.e. 15-29, 30-49 and 50-64. </w:t>
      </w:r>
    </w:p>
    <w:p w:rsidR="004054DC" w:rsidRPr="004054DC" w:rsidRDefault="004054DC" w:rsidP="004054DC">
      <w:pPr>
        <w:tabs>
          <w:tab w:val="clear" w:pos="1191"/>
          <w:tab w:val="clear" w:pos="1531"/>
          <w:tab w:val="num" w:pos="850"/>
        </w:tabs>
        <w:spacing w:after="240"/>
        <w:ind w:left="850" w:hanging="408"/>
      </w:pPr>
      <w:r w:rsidRPr="004054DC">
        <w:t>Education, for 3 categories based on ISCED 97, i.e. no schooling/pre-primary/primary/lower secondary, upper-secondary/post-secondary, and tertiary.</w:t>
      </w:r>
    </w:p>
    <w:p w:rsidR="004054DC" w:rsidRPr="004054DC" w:rsidRDefault="004054DC" w:rsidP="004054DC">
      <w:pPr>
        <w:keepNext/>
        <w:spacing w:before="240" w:after="240"/>
        <w:outlineLvl w:val="2"/>
        <w:rPr>
          <w:b/>
          <w:bCs/>
          <w:i/>
          <w:iCs/>
        </w:rPr>
      </w:pPr>
      <w:r w:rsidRPr="004054DC">
        <w:rPr>
          <w:b/>
          <w:bCs/>
          <w:i/>
          <w:iCs/>
        </w:rPr>
        <w:t>Comments and limitations</w:t>
      </w:r>
    </w:p>
    <w:p w:rsidR="004054DC" w:rsidRPr="004054DC" w:rsidRDefault="004054DC" w:rsidP="004054DC">
      <w:pPr>
        <w:spacing w:after="240"/>
        <w:ind w:firstLine="442"/>
      </w:pPr>
      <w:r w:rsidRPr="004054DC">
        <w:t xml:space="preserve">Measuring quality of environment is crucial in order to move beyond quantitative assessment of labour market performances and put job quality at the policy forefront. OECD’s Job Quality Framework (Cazes, et al. 2015) thus identifies the quality of the working environment as one of the three key and complementary dimensions of employment (the other two dimensions are earnings quality and labour market security). </w:t>
      </w:r>
    </w:p>
    <w:p w:rsidR="004054DC" w:rsidRPr="004054DC" w:rsidRDefault="004054DC" w:rsidP="004054DC">
      <w:pPr>
        <w:spacing w:after="240"/>
        <w:ind w:firstLine="442"/>
      </w:pPr>
      <w:r w:rsidRPr="004054DC">
        <w:t>The quality of the working dimension is the most innovative of the three components of Job Quality, therefore also the most demanding one in terms of data. While there are major limitations regarding availability of internationally comparable data, the OECD has carryied out substantive work in order to identify these data gaps in quality of working environment. In order to gather and systemise available information, the OECD has undertaken a stock-taking excersise and compiled relevant survey questions from several international surveys</w:t>
      </w:r>
      <w:r w:rsidRPr="004054DC">
        <w:rPr>
          <w:vertAlign w:val="superscript"/>
        </w:rPr>
        <w:footnoteReference w:id="2"/>
      </w:r>
      <w:r w:rsidRPr="004054DC">
        <w:t xml:space="preserve">. The OECD next plans to develop Guidelines on the measurement of the quality of the working environment, drawing on the findings from the inventory. </w:t>
      </w:r>
    </w:p>
    <w:p w:rsidR="004054DC" w:rsidRPr="004054DC" w:rsidRDefault="004054DC" w:rsidP="004054DC">
      <w:pPr>
        <w:keepNext/>
        <w:spacing w:before="240" w:after="240"/>
        <w:outlineLvl w:val="2"/>
        <w:rPr>
          <w:b/>
          <w:bCs/>
          <w:i/>
          <w:iCs/>
        </w:rPr>
      </w:pPr>
      <w:r w:rsidRPr="004054DC">
        <w:rPr>
          <w:b/>
          <w:bCs/>
          <w:i/>
          <w:iCs/>
        </w:rPr>
        <w:lastRenderedPageBreak/>
        <w:t>Gender equality issues</w:t>
      </w:r>
    </w:p>
    <w:p w:rsidR="004054DC" w:rsidRPr="004054DC" w:rsidRDefault="004054DC" w:rsidP="004054DC">
      <w:pPr>
        <w:spacing w:after="240"/>
        <w:ind w:firstLine="442"/>
      </w:pPr>
      <w:r w:rsidRPr="004054DC">
        <w:t>There is great use in the disaggregation by gender of measures of quality of the working conditions. OECD calculations for European countries show that women are less likely to experience job strain, but looking more detail in specific job stressors, they are more likely to face time pressure, and intimidation and discrimination at work.</w:t>
      </w:r>
    </w:p>
    <w:p w:rsidR="004054DC" w:rsidRPr="004054DC" w:rsidRDefault="004054DC" w:rsidP="004054DC">
      <w:pPr>
        <w:keepNext/>
        <w:spacing w:before="240" w:after="240"/>
        <w:outlineLvl w:val="2"/>
        <w:rPr>
          <w:b/>
          <w:bCs/>
          <w:i/>
          <w:iCs/>
        </w:rPr>
      </w:pPr>
      <w:r w:rsidRPr="004054DC">
        <w:rPr>
          <w:b/>
          <w:bCs/>
          <w:i/>
          <w:iCs/>
        </w:rPr>
        <w:t>Data for global and regional monitoring</w:t>
      </w:r>
    </w:p>
    <w:p w:rsidR="004054DC" w:rsidRPr="004054DC" w:rsidRDefault="004054DC" w:rsidP="004054DC">
      <w:pPr>
        <w:spacing w:after="240"/>
        <w:ind w:firstLine="442"/>
      </w:pPr>
      <w:r w:rsidRPr="004054DC">
        <w:t xml:space="preserve">OECD’s measure of quality of the working environment currently covers a small number of countries. Eurofound’s European Working Conditions Survey is currently the survey with the most extensive information on the quality of working environment covering 35 countries. Moreover, a number of non-European countries have shown interest to the survey (i.e. Brazil and China) and a couple of others are conducting it (i.e. South Korea and the United States). </w:t>
      </w:r>
    </w:p>
    <w:p w:rsidR="004054DC" w:rsidRPr="004054DC" w:rsidRDefault="004054DC" w:rsidP="004054DC">
      <w:pPr>
        <w:keepNext/>
        <w:spacing w:before="240" w:after="240"/>
        <w:outlineLvl w:val="2"/>
        <w:rPr>
          <w:b/>
          <w:bCs/>
          <w:i/>
          <w:iCs/>
        </w:rPr>
      </w:pPr>
      <w:r w:rsidRPr="004054DC">
        <w:rPr>
          <w:b/>
          <w:bCs/>
          <w:i/>
          <w:iCs/>
        </w:rPr>
        <w:t>Supplementary information</w:t>
      </w:r>
    </w:p>
    <w:p w:rsidR="004054DC" w:rsidRPr="004054DC" w:rsidRDefault="004054DC" w:rsidP="004054DC">
      <w:pPr>
        <w:spacing w:after="240"/>
        <w:ind w:left="567" w:hanging="567"/>
      </w:pPr>
      <w:r w:rsidRPr="004054DC">
        <w:t xml:space="preserve">OECD (2013).  “Well-being at the workplace: Measuring job quality” in </w:t>
      </w:r>
      <w:r w:rsidRPr="004054DC">
        <w:rPr>
          <w:i/>
        </w:rPr>
        <w:t xml:space="preserve">How’s Life? Measuring Well-being, </w:t>
      </w:r>
      <w:r w:rsidRPr="004054DC">
        <w:t xml:space="preserve">OECD Publishing, Paris, </w:t>
      </w:r>
      <w:r w:rsidRPr="004054DC">
        <w:rPr>
          <w:rFonts w:eastAsia="Calibri"/>
          <w:color w:val="0000FF" w:themeColor="hyperlink"/>
          <w:u w:val="single"/>
          <w:lang w:val="en"/>
        </w:rPr>
        <w:t>DOI:</w:t>
      </w:r>
      <w:hyperlink r:id="rId20" w:tgtFrame="_blank" w:tooltip="How's Life? 2013" w:history="1">
        <w:r w:rsidRPr="004054DC">
          <w:rPr>
            <w:rFonts w:eastAsia="Calibri"/>
            <w:color w:val="0000FF" w:themeColor="hyperlink"/>
            <w:u w:val="single"/>
            <w:lang w:val="en"/>
          </w:rPr>
          <w:t>10.1787/9789264201392-en</w:t>
        </w:r>
      </w:hyperlink>
    </w:p>
    <w:p w:rsidR="004054DC" w:rsidRPr="004054DC" w:rsidRDefault="004054DC" w:rsidP="004054DC">
      <w:pPr>
        <w:spacing w:after="240"/>
        <w:ind w:left="567" w:hanging="567"/>
        <w:rPr>
          <w:lang w:val="en"/>
        </w:rPr>
      </w:pPr>
      <w:r w:rsidRPr="004054DC">
        <w:rPr>
          <w:lang w:val="en"/>
        </w:rPr>
        <w:t xml:space="preserve">OECD (2014). “How good is your job? Measuring and assessing job quality”, in </w:t>
      </w:r>
      <w:r w:rsidRPr="004054DC">
        <w:rPr>
          <w:i/>
          <w:iCs/>
          <w:lang w:val="en"/>
        </w:rPr>
        <w:t>OECD Employment Outlook 2014</w:t>
      </w:r>
      <w:r w:rsidRPr="004054DC">
        <w:rPr>
          <w:lang w:val="en"/>
        </w:rPr>
        <w:t xml:space="preserve">, OECD Publishing, Paris, </w:t>
      </w:r>
      <w:hyperlink r:id="rId21" w:tgtFrame="_blank" w:tooltip="http://dx.doi.org/10.1787/empl_outlook-2014-6-en" w:history="1">
        <w:r w:rsidRPr="004054DC">
          <w:rPr>
            <w:rFonts w:eastAsia="Calibri"/>
            <w:color w:val="0000FF" w:themeColor="hyperlink"/>
            <w:u w:val="single"/>
            <w:lang w:val="en"/>
          </w:rPr>
          <w:t>http://dx.doi.org/10.1787/empl_outlook-2014-6-en</w:t>
        </w:r>
      </w:hyperlink>
      <w:r w:rsidRPr="004054DC">
        <w:rPr>
          <w:rFonts w:eastAsia="Calibri"/>
          <w:color w:val="0000FF" w:themeColor="hyperlink"/>
          <w:u w:val="single"/>
          <w:lang w:val="en"/>
        </w:rPr>
        <w:t>.</w:t>
      </w:r>
    </w:p>
    <w:p w:rsidR="004054DC" w:rsidRPr="004054DC" w:rsidRDefault="004054DC" w:rsidP="004054DC">
      <w:pPr>
        <w:spacing w:after="240"/>
        <w:ind w:left="567" w:hanging="567"/>
        <w:rPr>
          <w:lang w:val="en"/>
        </w:rPr>
      </w:pPr>
      <w:r w:rsidRPr="004054DC">
        <w:rPr>
          <w:lang w:val="en"/>
        </w:rPr>
        <w:t xml:space="preserve">OECD (2015).  </w:t>
      </w:r>
      <w:r w:rsidRPr="004054DC">
        <w:t xml:space="preserve">“Enhancing job quality in emerging economies”, in OECD </w:t>
      </w:r>
      <w:r w:rsidRPr="004054DC">
        <w:rPr>
          <w:i/>
          <w:iCs/>
          <w:lang w:val="en"/>
        </w:rPr>
        <w:t>Employment Outlook 2015</w:t>
      </w:r>
      <w:r w:rsidRPr="004054DC">
        <w:rPr>
          <w:lang w:val="en"/>
        </w:rPr>
        <w:t>, OECD Publishing, Paris, forthcoming</w:t>
      </w:r>
    </w:p>
    <w:p w:rsidR="004054DC" w:rsidRPr="004054DC" w:rsidRDefault="004054DC" w:rsidP="004054DC">
      <w:pPr>
        <w:spacing w:after="240"/>
        <w:ind w:left="567" w:hanging="567"/>
      </w:pPr>
      <w:r w:rsidRPr="004054DC">
        <w:t xml:space="preserve">OECD (2015). Inventory of Survey Questions on the Quality of Working Environment, OECD, Paris, </w:t>
      </w:r>
      <w:hyperlink r:id="rId22" w:history="1">
        <w:r w:rsidRPr="004054DC">
          <w:rPr>
            <w:color w:val="0000FF" w:themeColor="hyperlink"/>
            <w:sz w:val="21"/>
            <w:szCs w:val="21"/>
            <w:u w:val="single"/>
          </w:rPr>
          <w:t>http://stats.oecd.org/Index.aspx?DataSetCode=JOBQ_I</w:t>
        </w:r>
      </w:hyperlink>
      <w:r w:rsidRPr="004054DC">
        <w:t xml:space="preserve">. </w:t>
      </w:r>
    </w:p>
    <w:p w:rsidR="004054DC" w:rsidRPr="004054DC" w:rsidRDefault="004054DC" w:rsidP="004054DC">
      <w:pPr>
        <w:spacing w:after="240"/>
        <w:rPr>
          <w:b/>
          <w:i/>
        </w:rPr>
      </w:pPr>
      <w:r w:rsidRPr="004054DC">
        <w:rPr>
          <w:b/>
          <w:i/>
        </w:rPr>
        <w:t>References:</w:t>
      </w:r>
    </w:p>
    <w:p w:rsidR="004054DC" w:rsidRPr="004054DC" w:rsidRDefault="004054DC" w:rsidP="004054DC">
      <w:pPr>
        <w:spacing w:after="240"/>
        <w:ind w:left="567" w:hanging="567"/>
        <w:jc w:val="left"/>
        <w:rPr>
          <w:lang w:val="en-AU"/>
        </w:rPr>
      </w:pPr>
      <w:r w:rsidRPr="004054DC">
        <w:rPr>
          <w:lang w:val="en-AU"/>
        </w:rPr>
        <w:t>Cazes, S., Hijzen, A. and A. Saint-Martin, (2015), “How good is your job? A framework for measuring and assessing job quality”, OECD Working Paper, forthcoming.</w:t>
      </w:r>
    </w:p>
    <w:p w:rsidR="004054DC" w:rsidRPr="004054DC" w:rsidRDefault="004054DC" w:rsidP="004054DC">
      <w:pPr>
        <w:spacing w:after="240"/>
        <w:ind w:left="567" w:hanging="567"/>
      </w:pPr>
      <w:r w:rsidRPr="004054DC">
        <w:t>Bakker A. and E. Demerouti (2007), “The Job Demands-Resources model: state of the art”, Journal of Managerial Psychology, Vol. 22/3, pp. 309-328.</w:t>
      </w:r>
    </w:p>
    <w:p w:rsidR="004054DC" w:rsidRPr="004054DC" w:rsidRDefault="004054DC" w:rsidP="004054DC">
      <w:pPr>
        <w:spacing w:after="240"/>
        <w:ind w:left="567" w:hanging="567"/>
      </w:pPr>
      <w:r w:rsidRPr="004054DC">
        <w:t>Eurofound (2012), Trends in job quality in Europe, Publications Office of the European Union, Luxembourg.</w:t>
      </w:r>
    </w:p>
    <w:p w:rsidR="004054DC" w:rsidRPr="004054DC" w:rsidRDefault="004054DC" w:rsidP="004054DC">
      <w:pPr>
        <w:spacing w:after="240"/>
        <w:rPr>
          <w:b/>
        </w:rPr>
      </w:pPr>
    </w:p>
    <w:p w:rsidR="004054DC" w:rsidRDefault="004054DC">
      <w:pPr>
        <w:tabs>
          <w:tab w:val="clear" w:pos="850"/>
          <w:tab w:val="clear" w:pos="1191"/>
          <w:tab w:val="clear" w:pos="1531"/>
        </w:tabs>
        <w:jc w:val="left"/>
      </w:pPr>
      <w:r>
        <w:br w:type="page"/>
      </w:r>
    </w:p>
    <w:p w:rsidR="004054DC" w:rsidRPr="004054DC" w:rsidRDefault="004054DC" w:rsidP="004054DC">
      <w:pPr>
        <w:keepNext/>
        <w:spacing w:before="1200" w:after="720"/>
        <w:jc w:val="center"/>
        <w:outlineLvl w:val="0"/>
        <w:rPr>
          <w:b/>
          <w:bCs/>
          <w:caps/>
          <w:kern w:val="28"/>
        </w:rPr>
      </w:pPr>
      <w:r w:rsidRPr="004054DC">
        <w:rPr>
          <w:b/>
          <w:bCs/>
          <w:caps/>
          <w:kern w:val="28"/>
        </w:rPr>
        <w:lastRenderedPageBreak/>
        <w:fldChar w:fldCharType="begin"/>
      </w:r>
      <w:r w:rsidRPr="004054DC">
        <w:rPr>
          <w:b/>
          <w:bCs/>
          <w:caps/>
          <w:kern w:val="28"/>
        </w:rPr>
        <w:instrText xml:space="preserve"> MACROBUTTON NUMBERING </w:instrText>
      </w:r>
      <w:r w:rsidRPr="004054DC">
        <w:rPr>
          <w:b/>
          <w:bCs/>
          <w:caps/>
          <w:kern w:val="28"/>
        </w:rPr>
        <w:fldChar w:fldCharType="begin"/>
      </w:r>
      <w:r w:rsidRPr="004054DC">
        <w:rPr>
          <w:b/>
          <w:bCs/>
          <w:caps/>
          <w:kern w:val="28"/>
        </w:rPr>
        <w:instrText xml:space="preserve"> SEQ  cpara \h \r 0</w:instrText>
      </w:r>
      <w:r w:rsidRPr="004054DC">
        <w:rPr>
          <w:b/>
          <w:bCs/>
          <w:caps/>
          <w:kern w:val="28"/>
        </w:rPr>
        <w:fldChar w:fldCharType="end"/>
      </w:r>
      <w:r w:rsidRPr="004054DC">
        <w:rPr>
          <w:b/>
          <w:bCs/>
          <w:caps/>
          <w:kern w:val="28"/>
        </w:rPr>
        <w:fldChar w:fldCharType="begin"/>
      </w:r>
      <w:r w:rsidRPr="004054DC">
        <w:rPr>
          <w:b/>
          <w:bCs/>
          <w:caps/>
          <w:kern w:val="28"/>
        </w:rPr>
        <w:instrText xml:space="preserve"> SEQ  ccount \h</w:instrText>
      </w:r>
      <w:r w:rsidRPr="004054DC">
        <w:rPr>
          <w:b/>
          <w:bCs/>
          <w:caps/>
          <w:kern w:val="28"/>
        </w:rPr>
        <w:fldChar w:fldCharType="end"/>
      </w:r>
      <w:r w:rsidRPr="004054DC">
        <w:rPr>
          <w:b/>
          <w:bCs/>
          <w:caps/>
          <w:kern w:val="28"/>
        </w:rPr>
        <w:fldChar w:fldCharType="end"/>
      </w:r>
      <w:r w:rsidRPr="004054DC">
        <w:rPr>
          <w:b/>
          <w:bCs/>
          <w:caps/>
          <w:kern w:val="28"/>
        </w:rPr>
        <w:t xml:space="preserve"> aid for trade</w:t>
      </w:r>
    </w:p>
    <w:p w:rsidR="004054DC" w:rsidRPr="004054DC" w:rsidRDefault="004054DC" w:rsidP="004054DC">
      <w:pPr>
        <w:keepNext/>
        <w:spacing w:before="240" w:after="240"/>
        <w:outlineLvl w:val="2"/>
        <w:rPr>
          <w:b/>
          <w:bCs/>
          <w:i/>
          <w:iCs/>
        </w:rPr>
      </w:pPr>
      <w:r w:rsidRPr="004054DC">
        <w:rPr>
          <w:b/>
          <w:bCs/>
          <w:i/>
          <w:iCs/>
        </w:rPr>
        <w:t>Goals and targets addressed</w:t>
      </w:r>
    </w:p>
    <w:p w:rsidR="004054DC" w:rsidRPr="004054DC" w:rsidRDefault="004054DC" w:rsidP="004054DC">
      <w:pPr>
        <w:spacing w:after="240"/>
        <w:ind w:firstLine="442"/>
      </w:pPr>
      <w:r w:rsidRPr="004054DC">
        <w:t>Goal 8: Promote sustained, inclusive and sustainable economic growth, full and productive employment and decent work for all.</w:t>
      </w:r>
    </w:p>
    <w:p w:rsidR="004054DC" w:rsidRPr="004054DC" w:rsidRDefault="004054DC" w:rsidP="004054DC">
      <w:pPr>
        <w:spacing w:after="240"/>
        <w:ind w:firstLine="442"/>
      </w:pPr>
      <w:r w:rsidRPr="004054DC">
        <w:t>Target 8a: Increase Aid for Trade support for developing countries, particularly LDCs, including through the Enhanced Integrated Framework for LDCs.</w:t>
      </w:r>
    </w:p>
    <w:p w:rsidR="004054DC" w:rsidRPr="004054DC" w:rsidRDefault="004054DC" w:rsidP="004054DC">
      <w:pPr>
        <w:spacing w:after="240"/>
        <w:ind w:firstLine="442"/>
      </w:pPr>
      <w:r w:rsidRPr="004054DC">
        <w:t>Goal 17: Strengthen the means of implementation and revitalize the global partnership for sustainable development.</w:t>
      </w:r>
    </w:p>
    <w:p w:rsidR="004054DC" w:rsidRPr="004054DC" w:rsidRDefault="004054DC" w:rsidP="004054DC">
      <w:pPr>
        <w:spacing w:after="240"/>
        <w:ind w:firstLine="442"/>
      </w:pPr>
      <w:r w:rsidRPr="004054DC">
        <w:t>Target 17.11: Increase significantly the exports of developing countries, in particular with a view to doubling the LDC share of global exports by 2020.</w:t>
      </w:r>
    </w:p>
    <w:p w:rsidR="004054DC" w:rsidRPr="004054DC" w:rsidRDefault="004054DC" w:rsidP="004054DC">
      <w:pPr>
        <w:keepNext/>
        <w:spacing w:before="240" w:after="240"/>
        <w:outlineLvl w:val="2"/>
        <w:rPr>
          <w:b/>
          <w:bCs/>
          <w:i/>
          <w:iCs/>
        </w:rPr>
      </w:pPr>
      <w:r w:rsidRPr="004054DC">
        <w:rPr>
          <w:b/>
          <w:bCs/>
          <w:i/>
          <w:iCs/>
        </w:rPr>
        <w:t>Definition and method of computation</w:t>
      </w:r>
    </w:p>
    <w:p w:rsidR="004054DC" w:rsidRPr="004054DC" w:rsidRDefault="004054DC" w:rsidP="004054DC">
      <w:pPr>
        <w:spacing w:after="240"/>
        <w:ind w:firstLine="442"/>
        <w:rPr>
          <w:lang w:eastAsia="en-US"/>
        </w:rPr>
      </w:pPr>
      <w:r w:rsidRPr="004054DC">
        <w:rPr>
          <w:lang w:eastAsia="en-US"/>
        </w:rPr>
        <w:t xml:space="preserve">Total </w:t>
      </w:r>
      <w:hyperlink r:id="rId23" w:anchor="ODA" w:history="1">
        <w:r w:rsidRPr="004054DC">
          <w:rPr>
            <w:color w:val="0000FF" w:themeColor="hyperlink"/>
            <w:u w:val="single"/>
            <w:lang w:eastAsia="en-US"/>
          </w:rPr>
          <w:t>official development assistance</w:t>
        </w:r>
      </w:hyperlink>
      <w:r w:rsidRPr="004054DC">
        <w:rPr>
          <w:lang w:eastAsia="en-US"/>
        </w:rPr>
        <w:t xml:space="preserve"> (ODA) disbursements that qualify as </w:t>
      </w:r>
      <w:hyperlink r:id="rId24" w:anchor="Methodology" w:history="1">
        <w:r w:rsidRPr="004054DC">
          <w:rPr>
            <w:color w:val="0000FF" w:themeColor="hyperlink"/>
            <w:u w:val="single"/>
            <w:lang w:eastAsia="en-US"/>
          </w:rPr>
          <w:t>aid for trade</w:t>
        </w:r>
      </w:hyperlink>
      <w:r w:rsidRPr="004054DC">
        <w:rPr>
          <w:lang w:eastAsia="en-US"/>
        </w:rPr>
        <w:t>.  Data expressed in US dollars at the average annual exchange rate.</w:t>
      </w:r>
    </w:p>
    <w:p w:rsidR="004054DC" w:rsidRPr="004054DC" w:rsidRDefault="004054DC" w:rsidP="004054DC">
      <w:pPr>
        <w:keepNext/>
        <w:spacing w:before="240" w:after="240"/>
        <w:outlineLvl w:val="2"/>
        <w:rPr>
          <w:b/>
          <w:bCs/>
          <w:i/>
          <w:iCs/>
        </w:rPr>
      </w:pPr>
      <w:r w:rsidRPr="004054DC">
        <w:rPr>
          <w:b/>
          <w:bCs/>
          <w:i/>
          <w:iCs/>
        </w:rPr>
        <w:t>Rationale and interpretation</w:t>
      </w:r>
    </w:p>
    <w:p w:rsidR="004054DC" w:rsidRPr="004054DC" w:rsidRDefault="004054DC" w:rsidP="004054DC">
      <w:pPr>
        <w:spacing w:after="240"/>
        <w:ind w:firstLine="442"/>
      </w:pPr>
      <w:r w:rsidRPr="004054DC">
        <w:t>ODA is the accepted measure of international development co-operation.  In this case it captures aid in support of projects and programmes to improve the trade and production capacities of developing countries.</w:t>
      </w:r>
    </w:p>
    <w:p w:rsidR="004054DC" w:rsidRPr="004054DC" w:rsidRDefault="004054DC" w:rsidP="004054DC">
      <w:pPr>
        <w:keepNext/>
        <w:spacing w:before="240" w:after="240"/>
        <w:outlineLvl w:val="2"/>
        <w:rPr>
          <w:b/>
          <w:bCs/>
          <w:i/>
          <w:iCs/>
        </w:rPr>
      </w:pPr>
      <w:r w:rsidRPr="004054DC">
        <w:rPr>
          <w:b/>
          <w:bCs/>
          <w:i/>
          <w:iCs/>
        </w:rPr>
        <w:t>Sources and data collection</w:t>
      </w:r>
    </w:p>
    <w:p w:rsidR="004054DC" w:rsidRPr="004054DC" w:rsidRDefault="004054DC" w:rsidP="004054DC">
      <w:pPr>
        <w:spacing w:after="240"/>
        <w:ind w:firstLine="442"/>
        <w:rPr>
          <w:lang w:eastAsia="en-US"/>
        </w:rPr>
      </w:pPr>
      <w:r w:rsidRPr="004054DC">
        <w:rPr>
          <w:lang w:eastAsia="en-US"/>
        </w:rPr>
        <w:t xml:space="preserve">Data are compiled by the Development Assistance Committee (DAC) of the Organisation for Economic Co-operation and Development from returns submitted by its member countries and other aid providers.  Data are available </w:t>
      </w:r>
      <w:hyperlink r:id="rId25" w:history="1">
        <w:r w:rsidRPr="004054DC">
          <w:rPr>
            <w:color w:val="0000FF" w:themeColor="hyperlink"/>
            <w:u w:val="single"/>
            <w:lang w:eastAsia="en-US"/>
          </w:rPr>
          <w:t>here</w:t>
        </w:r>
      </w:hyperlink>
      <w:r w:rsidRPr="004054DC">
        <w:rPr>
          <w:lang w:eastAsia="en-US"/>
        </w:rPr>
        <w:t>.</w:t>
      </w:r>
    </w:p>
    <w:p w:rsidR="004054DC" w:rsidRPr="004054DC" w:rsidRDefault="004054DC" w:rsidP="004054DC">
      <w:pPr>
        <w:keepNext/>
        <w:spacing w:before="240" w:after="240"/>
        <w:outlineLvl w:val="2"/>
        <w:rPr>
          <w:b/>
          <w:bCs/>
          <w:i/>
          <w:iCs/>
        </w:rPr>
      </w:pPr>
      <w:r w:rsidRPr="004054DC">
        <w:rPr>
          <w:b/>
          <w:bCs/>
          <w:i/>
          <w:iCs/>
        </w:rPr>
        <w:t>Disaggregation</w:t>
      </w:r>
    </w:p>
    <w:p w:rsidR="004054DC" w:rsidRPr="004054DC" w:rsidRDefault="004054DC" w:rsidP="004054DC">
      <w:pPr>
        <w:spacing w:after="240"/>
        <w:ind w:firstLine="442"/>
      </w:pPr>
      <w:r w:rsidRPr="004054DC">
        <w:t>The data are generally obtained on an activity level, and include numerous parameters.  They can thus be disaggregated by provider and recipient country; by type of finance, and by type of resources provided.  Some data are also available on the policy objectives targeted by individual projects.</w:t>
      </w:r>
    </w:p>
    <w:p w:rsidR="004054DC" w:rsidRPr="004054DC" w:rsidRDefault="004054DC" w:rsidP="004054DC">
      <w:pPr>
        <w:keepNext/>
        <w:spacing w:before="240" w:after="240"/>
        <w:outlineLvl w:val="2"/>
        <w:rPr>
          <w:b/>
          <w:bCs/>
          <w:i/>
          <w:iCs/>
        </w:rPr>
      </w:pPr>
      <w:r w:rsidRPr="004054DC">
        <w:rPr>
          <w:b/>
          <w:bCs/>
          <w:i/>
          <w:iCs/>
        </w:rPr>
        <w:t>Comments and limitations</w:t>
      </w:r>
    </w:p>
    <w:p w:rsidR="004054DC" w:rsidRPr="004054DC" w:rsidRDefault="004054DC" w:rsidP="004054DC">
      <w:pPr>
        <w:spacing w:after="240"/>
        <w:ind w:firstLine="442"/>
      </w:pPr>
      <w:r w:rsidRPr="004054DC">
        <w:t>The data only cover official concessional support from donor countries. The OECD and other organisations also collect data on broader investment flows to developing countries.  However detailed sectoral information on such flows is lacking.</w:t>
      </w:r>
    </w:p>
    <w:p w:rsidR="004054DC" w:rsidRPr="004054DC" w:rsidRDefault="004054DC" w:rsidP="004054DC">
      <w:pPr>
        <w:keepNext/>
        <w:spacing w:before="240" w:after="240"/>
        <w:outlineLvl w:val="2"/>
        <w:rPr>
          <w:b/>
          <w:bCs/>
          <w:i/>
          <w:iCs/>
        </w:rPr>
      </w:pPr>
      <w:r w:rsidRPr="004054DC">
        <w:rPr>
          <w:b/>
          <w:bCs/>
          <w:i/>
          <w:iCs/>
        </w:rPr>
        <w:t>Gender equality issues</w:t>
      </w:r>
    </w:p>
    <w:p w:rsidR="004054DC" w:rsidRPr="004054DC" w:rsidRDefault="004054DC" w:rsidP="004054DC">
      <w:pPr>
        <w:spacing w:after="240"/>
        <w:ind w:firstLine="442"/>
      </w:pPr>
      <w:r w:rsidRPr="004054DC">
        <w:t xml:space="preserve">The data include a </w:t>
      </w:r>
      <w:hyperlink r:id="rId26" w:history="1">
        <w:r w:rsidRPr="004054DC">
          <w:rPr>
            <w:color w:val="0000FF" w:themeColor="hyperlink"/>
            <w:u w:val="single"/>
          </w:rPr>
          <w:t>“gender equality” marker</w:t>
        </w:r>
      </w:hyperlink>
      <w:r w:rsidRPr="004054DC">
        <w:t xml:space="preserve"> which identifies individual projects that have a clear gender dimension. </w:t>
      </w:r>
    </w:p>
    <w:p w:rsidR="004054DC" w:rsidRPr="004054DC" w:rsidRDefault="004054DC" w:rsidP="004054DC">
      <w:pPr>
        <w:keepNext/>
        <w:spacing w:before="240" w:after="240"/>
        <w:outlineLvl w:val="2"/>
        <w:rPr>
          <w:b/>
          <w:bCs/>
          <w:i/>
          <w:iCs/>
        </w:rPr>
      </w:pPr>
      <w:r w:rsidRPr="004054DC">
        <w:rPr>
          <w:b/>
          <w:bCs/>
          <w:i/>
          <w:iCs/>
        </w:rPr>
        <w:lastRenderedPageBreak/>
        <w:t>Data for global and regional monitoring</w:t>
      </w:r>
    </w:p>
    <w:p w:rsidR="004054DC" w:rsidRPr="004054DC" w:rsidRDefault="004054DC" w:rsidP="004054DC">
      <w:pPr>
        <w:spacing w:after="240"/>
        <w:ind w:firstLine="442"/>
      </w:pPr>
      <w:r w:rsidRPr="004054DC">
        <w:t>Data are available for essentially all high-income countries, and for an increasing number of middle-income aid providers.</w:t>
      </w:r>
    </w:p>
    <w:p w:rsidR="004054DC" w:rsidRPr="004054DC" w:rsidRDefault="004054DC" w:rsidP="004054DC">
      <w:pPr>
        <w:keepNext/>
        <w:spacing w:before="240" w:after="240"/>
        <w:outlineLvl w:val="2"/>
        <w:rPr>
          <w:b/>
          <w:bCs/>
          <w:i/>
          <w:iCs/>
        </w:rPr>
      </w:pPr>
      <w:r w:rsidRPr="004054DC">
        <w:rPr>
          <w:b/>
          <w:bCs/>
          <w:i/>
          <w:iCs/>
        </w:rPr>
        <w:t>Supplementary information</w:t>
      </w:r>
    </w:p>
    <w:p w:rsidR="004054DC" w:rsidRPr="004054DC" w:rsidRDefault="004054DC" w:rsidP="004054DC">
      <w:pPr>
        <w:spacing w:after="240"/>
        <w:ind w:firstLine="442"/>
      </w:pPr>
      <w:r w:rsidRPr="004054DC">
        <w:t xml:space="preserve">See </w:t>
      </w:r>
      <w:hyperlink r:id="rId27" w:history="1">
        <w:r w:rsidRPr="004054DC">
          <w:rPr>
            <w:color w:val="0000FF" w:themeColor="hyperlink"/>
            <w:u w:val="single"/>
          </w:rPr>
          <w:t>Aid for trade</w:t>
        </w:r>
      </w:hyperlink>
    </w:p>
    <w:p w:rsidR="004054DC" w:rsidRPr="004054DC" w:rsidRDefault="004054DC" w:rsidP="004054DC">
      <w:pPr>
        <w:keepNext/>
        <w:spacing w:before="240" w:after="240"/>
        <w:outlineLvl w:val="2"/>
        <w:rPr>
          <w:b/>
          <w:bCs/>
          <w:i/>
          <w:iCs/>
        </w:rPr>
      </w:pPr>
      <w:r w:rsidRPr="004054DC">
        <w:rPr>
          <w:b/>
          <w:bCs/>
          <w:i/>
          <w:iCs/>
        </w:rPr>
        <w:t>References</w:t>
      </w:r>
    </w:p>
    <w:p w:rsidR="004054DC" w:rsidRPr="004054DC" w:rsidRDefault="004054DC" w:rsidP="004054DC">
      <w:pPr>
        <w:spacing w:after="240"/>
        <w:ind w:firstLine="442"/>
      </w:pPr>
      <w:r w:rsidRPr="004054DC">
        <w:t xml:space="preserve">See links to publications </w:t>
      </w:r>
      <w:hyperlink r:id="rId28" w:history="1">
        <w:r w:rsidRPr="004054DC">
          <w:rPr>
            <w:color w:val="0000FF" w:themeColor="hyperlink"/>
            <w:u w:val="single"/>
          </w:rPr>
          <w:t>here</w:t>
        </w:r>
      </w:hyperlink>
      <w:r w:rsidRPr="004054DC">
        <w:t>.</w:t>
      </w:r>
    </w:p>
    <w:p w:rsidR="004054DC" w:rsidRPr="001B6093" w:rsidRDefault="004054DC" w:rsidP="00566B6A">
      <w:pPr>
        <w:pStyle w:val="Biblio-Entry"/>
        <w:spacing w:before="120" w:after="0"/>
      </w:pPr>
      <w:bookmarkStart w:id="0" w:name="_GoBack"/>
      <w:bookmarkEnd w:id="0"/>
    </w:p>
    <w:sectPr w:rsidR="004054DC" w:rsidRPr="001B6093" w:rsidSect="00465AEA">
      <w:headerReference w:type="even" r:id="rId29"/>
      <w:footerReference w:type="even" r:id="rId30"/>
      <w:footerReference w:type="default" r:id="rId31"/>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A4B" w:rsidRDefault="00B31A4B">
      <w:r>
        <w:separator/>
      </w:r>
    </w:p>
  </w:endnote>
  <w:endnote w:type="continuationSeparator" w:id="0">
    <w:p w:rsidR="00B31A4B" w:rsidRDefault="00B3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465A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AEA" w:rsidRDefault="00465AEA" w:rsidP="003758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54DC">
      <w:rPr>
        <w:rStyle w:val="PageNumber"/>
        <w:noProof/>
      </w:rPr>
      <w:t>15</w:t>
    </w:r>
    <w:r>
      <w:rPr>
        <w:rStyle w:val="PageNumber"/>
      </w:rPr>
      <w:fldChar w:fldCharType="end"/>
    </w:r>
  </w:p>
  <w:p w:rsidR="00125645" w:rsidRPr="00465AEA" w:rsidRDefault="00125645" w:rsidP="00465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A4B" w:rsidRDefault="00B31A4B">
      <w:r>
        <w:separator/>
      </w:r>
    </w:p>
  </w:footnote>
  <w:footnote w:type="continuationSeparator" w:id="0">
    <w:p w:rsidR="00B31A4B" w:rsidRDefault="00B31A4B">
      <w:r>
        <w:continuationSeparator/>
      </w:r>
    </w:p>
  </w:footnote>
  <w:footnote w:id="1">
    <w:p w:rsidR="004054DC" w:rsidRDefault="004054DC" w:rsidP="004054DC">
      <w:pPr>
        <w:pStyle w:val="BodyText"/>
        <w:rPr>
          <w:sz w:val="20"/>
          <w:szCs w:val="20"/>
          <w:lang w:eastAsia="en-US"/>
        </w:rPr>
      </w:pPr>
      <w:r>
        <w:rPr>
          <w:rStyle w:val="FootnoteReference"/>
        </w:rPr>
        <w:footnoteRef/>
      </w:r>
      <w:r>
        <w:t xml:space="preserve"> </w:t>
      </w:r>
      <w:r>
        <w:rPr>
          <w:sz w:val="20"/>
          <w:szCs w:val="20"/>
          <w:lang w:eastAsia="en-US"/>
        </w:rPr>
        <w:t>An extended version of the job strain indicator used for European countries also includes discrimination and intimidation as a job stressor and good management practices as a job resource.</w:t>
      </w:r>
    </w:p>
    <w:p w:rsidR="004054DC" w:rsidRDefault="004054DC" w:rsidP="004054DC">
      <w:pPr>
        <w:pStyle w:val="FootnoteText"/>
      </w:pPr>
    </w:p>
  </w:footnote>
  <w:footnote w:id="2">
    <w:p w:rsidR="004054DC" w:rsidRDefault="004054DC" w:rsidP="004054DC">
      <w:pPr>
        <w:pStyle w:val="FootnoteText"/>
        <w:ind w:left="0" w:firstLine="0"/>
      </w:pPr>
      <w:r>
        <w:rPr>
          <w:rStyle w:val="FootnoteReference"/>
        </w:rPr>
        <w:footnoteRef/>
      </w:r>
      <w:r>
        <w:t xml:space="preserve"> </w:t>
      </w:r>
      <w:r>
        <w:tab/>
        <w:t xml:space="preserve">This ‘Inventory of Survey Questions on the Quality of the Working Enviroment’ can be accessed from the OECD Statistics Database  at </w:t>
      </w:r>
      <w:hyperlink r:id="rId1" w:history="1">
        <w:r>
          <w:rPr>
            <w:rStyle w:val="Hyperlink"/>
            <w:sz w:val="21"/>
            <w:szCs w:val="21"/>
          </w:rPr>
          <w:t>http://stats.oecd.org/Index.aspx?DataSetCode=JOBQ_I</w:t>
        </w:r>
      </w:hyperlink>
      <w:r>
        <w:rPr>
          <w:rStyle w:val="Hyperlink"/>
          <w:sz w:val="21"/>
          <w:szCs w:val="21"/>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DA8"/>
    <w:multiLevelType w:val="hybridMultilevel"/>
    <w:tmpl w:val="4DF8B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2">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4">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5">
    <w:nsid w:val="0F166685"/>
    <w:multiLevelType w:val="hybridMultilevel"/>
    <w:tmpl w:val="767010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7">
    <w:nsid w:val="14FD5E8A"/>
    <w:multiLevelType w:val="hybridMultilevel"/>
    <w:tmpl w:val="202C8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9">
    <w:nsid w:val="1AF44508"/>
    <w:multiLevelType w:val="hybridMultilevel"/>
    <w:tmpl w:val="17EE6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11">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12">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3">
    <w:nsid w:val="38B5323E"/>
    <w:multiLevelType w:val="hybridMultilevel"/>
    <w:tmpl w:val="9B4C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E545BBD"/>
    <w:multiLevelType w:val="hybridMultilevel"/>
    <w:tmpl w:val="E24AD9E6"/>
    <w:lvl w:ilvl="0" w:tplc="DA94F0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D65E3E"/>
    <w:multiLevelType w:val="hybridMultilevel"/>
    <w:tmpl w:val="E9E6A5A0"/>
    <w:lvl w:ilvl="0" w:tplc="82AA2208">
      <w:start w:val="17"/>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8">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9">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20">
    <w:nsid w:val="4B3907D7"/>
    <w:multiLevelType w:val="hybridMultilevel"/>
    <w:tmpl w:val="849CD3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22">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23">
    <w:nsid w:val="604C1EFF"/>
    <w:multiLevelType w:val="multilevel"/>
    <w:tmpl w:val="8DD6F692"/>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24">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25">
    <w:nsid w:val="745D703E"/>
    <w:multiLevelType w:val="hybridMultilevel"/>
    <w:tmpl w:val="A134F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
  </w:num>
  <w:num w:numId="6">
    <w:abstractNumId w:val="11"/>
  </w:num>
  <w:num w:numId="7">
    <w:abstractNumId w:val="18"/>
  </w:num>
  <w:num w:numId="8">
    <w:abstractNumId w:val="21"/>
  </w:num>
  <w:num w:numId="9">
    <w:abstractNumId w:val="22"/>
  </w:num>
  <w:num w:numId="10">
    <w:abstractNumId w:val="14"/>
  </w:num>
  <w:num w:numId="11">
    <w:abstractNumId w:val="24"/>
  </w:num>
  <w:num w:numId="12">
    <w:abstractNumId w:val="19"/>
  </w:num>
  <w:num w:numId="13">
    <w:abstractNumId w:val="2"/>
  </w:num>
  <w:num w:numId="14">
    <w:abstractNumId w:val="12"/>
  </w:num>
  <w:num w:numId="15">
    <w:abstractNumId w:val="8"/>
  </w:num>
  <w:num w:numId="16">
    <w:abstractNumId w:val="10"/>
  </w:num>
  <w:num w:numId="17">
    <w:abstractNumId w:val="0"/>
  </w:num>
  <w:num w:numId="18">
    <w:abstractNumId w:val="7"/>
  </w:num>
  <w:num w:numId="19">
    <w:abstractNumId w:val="13"/>
  </w:num>
  <w:num w:numId="20">
    <w:abstractNumId w:val="9"/>
  </w:num>
  <w:num w:numId="21">
    <w:abstractNumId w:val="15"/>
  </w:num>
  <w:num w:numId="22">
    <w:abstractNumId w:val="25"/>
  </w:num>
  <w:num w:numId="23">
    <w:abstractNumId w:val="16"/>
  </w:num>
  <w:num w:numId="24">
    <w:abstractNumId w:val="11"/>
  </w:num>
  <w:num w:numId="25">
    <w:abstractNumId w:val="20"/>
  </w:num>
  <w:num w:numId="26">
    <w:abstractNumId w:val="23"/>
  </w:num>
  <w:num w:numId="27">
    <w:abstractNumId w:val="1"/>
  </w:num>
  <w:num w:numId="28">
    <w:abstractNumId w:val="5"/>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465AEA"/>
    <w:rsid w:val="00037813"/>
    <w:rsid w:val="00125645"/>
    <w:rsid w:val="00150D14"/>
    <w:rsid w:val="001B6093"/>
    <w:rsid w:val="001C4B7C"/>
    <w:rsid w:val="00212052"/>
    <w:rsid w:val="00244644"/>
    <w:rsid w:val="002C4C14"/>
    <w:rsid w:val="002E7A14"/>
    <w:rsid w:val="0030014E"/>
    <w:rsid w:val="003104D6"/>
    <w:rsid w:val="00341310"/>
    <w:rsid w:val="003414EC"/>
    <w:rsid w:val="003448D6"/>
    <w:rsid w:val="003969D3"/>
    <w:rsid w:val="004054DC"/>
    <w:rsid w:val="00465AEA"/>
    <w:rsid w:val="00566B6A"/>
    <w:rsid w:val="00572A23"/>
    <w:rsid w:val="006A3AF3"/>
    <w:rsid w:val="006D7BE0"/>
    <w:rsid w:val="006E6743"/>
    <w:rsid w:val="00781C14"/>
    <w:rsid w:val="008137B1"/>
    <w:rsid w:val="008843E0"/>
    <w:rsid w:val="008963F1"/>
    <w:rsid w:val="008A65C8"/>
    <w:rsid w:val="008C45AB"/>
    <w:rsid w:val="008E00C7"/>
    <w:rsid w:val="00911B07"/>
    <w:rsid w:val="009B2788"/>
    <w:rsid w:val="009B53AC"/>
    <w:rsid w:val="00A51CE3"/>
    <w:rsid w:val="00AE34A2"/>
    <w:rsid w:val="00AF505A"/>
    <w:rsid w:val="00B20F5B"/>
    <w:rsid w:val="00B31A4B"/>
    <w:rsid w:val="00BA6993"/>
    <w:rsid w:val="00C70449"/>
    <w:rsid w:val="00D54F67"/>
    <w:rsid w:val="00DA2884"/>
    <w:rsid w:val="00DC29E4"/>
    <w:rsid w:val="00DC65ED"/>
    <w:rsid w:val="00E777AA"/>
    <w:rsid w:val="00EB6021"/>
    <w:rsid w:val="00F12149"/>
    <w:rsid w:val="00F26470"/>
    <w:rsid w:val="00F72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iPriority="0"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iPriority="0"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customStyle="1" w:styleId="BodyTextChar">
    <w:name w:val="Body Text Char"/>
    <w:basedOn w:val="DefaultParagraphFont"/>
    <w:link w:val="BodyText"/>
    <w:rsid w:val="00037813"/>
    <w:rPr>
      <w:sz w:val="22"/>
      <w:szCs w:val="22"/>
      <w:lang w:val="en-GB" w:eastAsia="zh-CN"/>
    </w:rPr>
  </w:style>
  <w:style w:type="character" w:customStyle="1" w:styleId="apple-converted-space">
    <w:name w:val="apple-converted-space"/>
    <w:basedOn w:val="DefaultParagraphFont"/>
    <w:rsid w:val="00037813"/>
  </w:style>
  <w:style w:type="character" w:styleId="Emphasis">
    <w:name w:val="Emphasis"/>
    <w:basedOn w:val="DefaultParagraphFont"/>
    <w:uiPriority w:val="20"/>
    <w:qFormat/>
    <w:rsid w:val="00037813"/>
    <w:rPr>
      <w:i/>
      <w:iCs/>
    </w:rPr>
  </w:style>
  <w:style w:type="character" w:styleId="FollowedHyperlink">
    <w:name w:val="FollowedHyperlink"/>
    <w:basedOn w:val="DefaultParagraphFont"/>
    <w:uiPriority w:val="99"/>
    <w:semiHidden/>
    <w:unhideWhenUsed/>
    <w:rsid w:val="00341310"/>
    <w:rPr>
      <w:color w:val="800080" w:themeColor="followedHyperlink"/>
      <w:u w:val="single"/>
    </w:rPr>
  </w:style>
  <w:style w:type="paragraph" w:customStyle="1" w:styleId="Ind-Txt-e">
    <w:name w:val="Ind-Txt-e"/>
    <w:basedOn w:val="Normal"/>
    <w:rsid w:val="00A51CE3"/>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 w:type="character" w:customStyle="1" w:styleId="FootnoteTextChar">
    <w:name w:val="Footnote Text Char"/>
    <w:basedOn w:val="DefaultParagraphFont"/>
    <w:link w:val="FootnoteText"/>
    <w:semiHidden/>
    <w:rsid w:val="004054DC"/>
    <w:rPr>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iPriority="0"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iPriority="0"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link w:val="BodyTextChar"/>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table" w:styleId="TableGrid">
    <w:name w:val="Table Grid"/>
    <w:basedOn w:val="TableNormal"/>
    <w:uiPriority w:val="59"/>
    <w:rsid w:val="00465AEA"/>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5AEA"/>
    <w:rPr>
      <w:color w:val="0000FF" w:themeColor="hyperlink"/>
      <w:u w:val="single"/>
    </w:rPr>
  </w:style>
  <w:style w:type="character" w:customStyle="1" w:styleId="BodyTextChar">
    <w:name w:val="Body Text Char"/>
    <w:basedOn w:val="DefaultParagraphFont"/>
    <w:link w:val="BodyText"/>
    <w:rsid w:val="00037813"/>
    <w:rPr>
      <w:sz w:val="22"/>
      <w:szCs w:val="22"/>
      <w:lang w:val="en-GB" w:eastAsia="zh-CN"/>
    </w:rPr>
  </w:style>
  <w:style w:type="character" w:customStyle="1" w:styleId="apple-converted-space">
    <w:name w:val="apple-converted-space"/>
    <w:basedOn w:val="DefaultParagraphFont"/>
    <w:rsid w:val="00037813"/>
  </w:style>
  <w:style w:type="character" w:styleId="Emphasis">
    <w:name w:val="Emphasis"/>
    <w:basedOn w:val="DefaultParagraphFont"/>
    <w:uiPriority w:val="20"/>
    <w:qFormat/>
    <w:rsid w:val="00037813"/>
    <w:rPr>
      <w:i/>
      <w:iCs/>
    </w:rPr>
  </w:style>
  <w:style w:type="character" w:styleId="FollowedHyperlink">
    <w:name w:val="FollowedHyperlink"/>
    <w:basedOn w:val="DefaultParagraphFont"/>
    <w:uiPriority w:val="99"/>
    <w:semiHidden/>
    <w:unhideWhenUsed/>
    <w:rsid w:val="00341310"/>
    <w:rPr>
      <w:color w:val="800080" w:themeColor="followedHyperlink"/>
      <w:u w:val="single"/>
    </w:rPr>
  </w:style>
  <w:style w:type="paragraph" w:customStyle="1" w:styleId="Ind-Txt-e">
    <w:name w:val="Ind-Txt-e"/>
    <w:basedOn w:val="Normal"/>
    <w:rsid w:val="00A51CE3"/>
    <w:pPr>
      <w:tabs>
        <w:tab w:val="clear" w:pos="850"/>
        <w:tab w:val="clear" w:pos="1191"/>
        <w:tab w:val="clear" w:pos="1531"/>
        <w:tab w:val="center" w:pos="5103"/>
        <w:tab w:val="right" w:pos="10206"/>
      </w:tabs>
      <w:spacing w:after="120"/>
    </w:pPr>
    <w:rPr>
      <w:rFonts w:ascii="Arial" w:hAnsi="Arial" w:cs="Arial"/>
      <w:spacing w:val="-2"/>
      <w:sz w:val="18"/>
      <w:szCs w:val="18"/>
      <w:lang w:eastAsia="en-US"/>
    </w:rPr>
  </w:style>
  <w:style w:type="character" w:customStyle="1" w:styleId="FootnoteTextChar">
    <w:name w:val="Footnote Text Char"/>
    <w:basedOn w:val="DefaultParagraphFont"/>
    <w:link w:val="FootnoteText"/>
    <w:semiHidden/>
    <w:rsid w:val="004054DC"/>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9328">
      <w:bodyDiv w:val="1"/>
      <w:marLeft w:val="0"/>
      <w:marRight w:val="0"/>
      <w:marTop w:val="0"/>
      <w:marBottom w:val="0"/>
      <w:divBdr>
        <w:top w:val="none" w:sz="0" w:space="0" w:color="auto"/>
        <w:left w:val="none" w:sz="0" w:space="0" w:color="auto"/>
        <w:bottom w:val="none" w:sz="0" w:space="0" w:color="auto"/>
        <w:right w:val="none" w:sz="0" w:space="0" w:color="auto"/>
      </w:divBdr>
    </w:div>
    <w:div w:id="17898831">
      <w:bodyDiv w:val="1"/>
      <w:marLeft w:val="0"/>
      <w:marRight w:val="0"/>
      <w:marTop w:val="0"/>
      <w:marBottom w:val="0"/>
      <w:divBdr>
        <w:top w:val="none" w:sz="0" w:space="0" w:color="auto"/>
        <w:left w:val="none" w:sz="0" w:space="0" w:color="auto"/>
        <w:bottom w:val="none" w:sz="0" w:space="0" w:color="auto"/>
        <w:right w:val="none" w:sz="0" w:space="0" w:color="auto"/>
      </w:divBdr>
    </w:div>
    <w:div w:id="168719766">
      <w:bodyDiv w:val="1"/>
      <w:marLeft w:val="0"/>
      <w:marRight w:val="0"/>
      <w:marTop w:val="0"/>
      <w:marBottom w:val="0"/>
      <w:divBdr>
        <w:top w:val="none" w:sz="0" w:space="0" w:color="auto"/>
        <w:left w:val="none" w:sz="0" w:space="0" w:color="auto"/>
        <w:bottom w:val="none" w:sz="0" w:space="0" w:color="auto"/>
        <w:right w:val="none" w:sz="0" w:space="0" w:color="auto"/>
      </w:divBdr>
    </w:div>
    <w:div w:id="176504359">
      <w:bodyDiv w:val="1"/>
      <w:marLeft w:val="0"/>
      <w:marRight w:val="0"/>
      <w:marTop w:val="0"/>
      <w:marBottom w:val="0"/>
      <w:divBdr>
        <w:top w:val="none" w:sz="0" w:space="0" w:color="auto"/>
        <w:left w:val="none" w:sz="0" w:space="0" w:color="auto"/>
        <w:bottom w:val="none" w:sz="0" w:space="0" w:color="auto"/>
        <w:right w:val="none" w:sz="0" w:space="0" w:color="auto"/>
      </w:divBdr>
    </w:div>
    <w:div w:id="176504563">
      <w:bodyDiv w:val="1"/>
      <w:marLeft w:val="0"/>
      <w:marRight w:val="0"/>
      <w:marTop w:val="0"/>
      <w:marBottom w:val="0"/>
      <w:divBdr>
        <w:top w:val="none" w:sz="0" w:space="0" w:color="auto"/>
        <w:left w:val="none" w:sz="0" w:space="0" w:color="auto"/>
        <w:bottom w:val="none" w:sz="0" w:space="0" w:color="auto"/>
        <w:right w:val="none" w:sz="0" w:space="0" w:color="auto"/>
      </w:divBdr>
    </w:div>
    <w:div w:id="256257355">
      <w:bodyDiv w:val="1"/>
      <w:marLeft w:val="0"/>
      <w:marRight w:val="0"/>
      <w:marTop w:val="0"/>
      <w:marBottom w:val="0"/>
      <w:divBdr>
        <w:top w:val="none" w:sz="0" w:space="0" w:color="auto"/>
        <w:left w:val="none" w:sz="0" w:space="0" w:color="auto"/>
        <w:bottom w:val="none" w:sz="0" w:space="0" w:color="auto"/>
        <w:right w:val="none" w:sz="0" w:space="0" w:color="auto"/>
      </w:divBdr>
    </w:div>
    <w:div w:id="289630726">
      <w:bodyDiv w:val="1"/>
      <w:marLeft w:val="0"/>
      <w:marRight w:val="0"/>
      <w:marTop w:val="0"/>
      <w:marBottom w:val="0"/>
      <w:divBdr>
        <w:top w:val="none" w:sz="0" w:space="0" w:color="auto"/>
        <w:left w:val="none" w:sz="0" w:space="0" w:color="auto"/>
        <w:bottom w:val="none" w:sz="0" w:space="0" w:color="auto"/>
        <w:right w:val="none" w:sz="0" w:space="0" w:color="auto"/>
      </w:divBdr>
    </w:div>
    <w:div w:id="399133048">
      <w:bodyDiv w:val="1"/>
      <w:marLeft w:val="0"/>
      <w:marRight w:val="0"/>
      <w:marTop w:val="0"/>
      <w:marBottom w:val="0"/>
      <w:divBdr>
        <w:top w:val="none" w:sz="0" w:space="0" w:color="auto"/>
        <w:left w:val="none" w:sz="0" w:space="0" w:color="auto"/>
        <w:bottom w:val="none" w:sz="0" w:space="0" w:color="auto"/>
        <w:right w:val="none" w:sz="0" w:space="0" w:color="auto"/>
      </w:divBdr>
    </w:div>
    <w:div w:id="452797362">
      <w:bodyDiv w:val="1"/>
      <w:marLeft w:val="0"/>
      <w:marRight w:val="0"/>
      <w:marTop w:val="0"/>
      <w:marBottom w:val="0"/>
      <w:divBdr>
        <w:top w:val="none" w:sz="0" w:space="0" w:color="auto"/>
        <w:left w:val="none" w:sz="0" w:space="0" w:color="auto"/>
        <w:bottom w:val="none" w:sz="0" w:space="0" w:color="auto"/>
        <w:right w:val="none" w:sz="0" w:space="0" w:color="auto"/>
      </w:divBdr>
    </w:div>
    <w:div w:id="491868497">
      <w:bodyDiv w:val="1"/>
      <w:marLeft w:val="0"/>
      <w:marRight w:val="0"/>
      <w:marTop w:val="0"/>
      <w:marBottom w:val="0"/>
      <w:divBdr>
        <w:top w:val="none" w:sz="0" w:space="0" w:color="auto"/>
        <w:left w:val="none" w:sz="0" w:space="0" w:color="auto"/>
        <w:bottom w:val="none" w:sz="0" w:space="0" w:color="auto"/>
        <w:right w:val="none" w:sz="0" w:space="0" w:color="auto"/>
      </w:divBdr>
    </w:div>
    <w:div w:id="551813206">
      <w:bodyDiv w:val="1"/>
      <w:marLeft w:val="0"/>
      <w:marRight w:val="0"/>
      <w:marTop w:val="0"/>
      <w:marBottom w:val="0"/>
      <w:divBdr>
        <w:top w:val="none" w:sz="0" w:space="0" w:color="auto"/>
        <w:left w:val="none" w:sz="0" w:space="0" w:color="auto"/>
        <w:bottom w:val="none" w:sz="0" w:space="0" w:color="auto"/>
        <w:right w:val="none" w:sz="0" w:space="0" w:color="auto"/>
      </w:divBdr>
    </w:div>
    <w:div w:id="709458765">
      <w:bodyDiv w:val="1"/>
      <w:marLeft w:val="0"/>
      <w:marRight w:val="0"/>
      <w:marTop w:val="0"/>
      <w:marBottom w:val="0"/>
      <w:divBdr>
        <w:top w:val="none" w:sz="0" w:space="0" w:color="auto"/>
        <w:left w:val="none" w:sz="0" w:space="0" w:color="auto"/>
        <w:bottom w:val="none" w:sz="0" w:space="0" w:color="auto"/>
        <w:right w:val="none" w:sz="0" w:space="0" w:color="auto"/>
      </w:divBdr>
    </w:div>
    <w:div w:id="903106443">
      <w:bodyDiv w:val="1"/>
      <w:marLeft w:val="0"/>
      <w:marRight w:val="0"/>
      <w:marTop w:val="0"/>
      <w:marBottom w:val="0"/>
      <w:divBdr>
        <w:top w:val="none" w:sz="0" w:space="0" w:color="auto"/>
        <w:left w:val="none" w:sz="0" w:space="0" w:color="auto"/>
        <w:bottom w:val="none" w:sz="0" w:space="0" w:color="auto"/>
        <w:right w:val="none" w:sz="0" w:space="0" w:color="auto"/>
      </w:divBdr>
    </w:div>
    <w:div w:id="919220575">
      <w:bodyDiv w:val="1"/>
      <w:marLeft w:val="0"/>
      <w:marRight w:val="0"/>
      <w:marTop w:val="0"/>
      <w:marBottom w:val="0"/>
      <w:divBdr>
        <w:top w:val="none" w:sz="0" w:space="0" w:color="auto"/>
        <w:left w:val="none" w:sz="0" w:space="0" w:color="auto"/>
        <w:bottom w:val="none" w:sz="0" w:space="0" w:color="auto"/>
        <w:right w:val="none" w:sz="0" w:space="0" w:color="auto"/>
      </w:divBdr>
    </w:div>
    <w:div w:id="944271945">
      <w:bodyDiv w:val="1"/>
      <w:marLeft w:val="0"/>
      <w:marRight w:val="0"/>
      <w:marTop w:val="0"/>
      <w:marBottom w:val="0"/>
      <w:divBdr>
        <w:top w:val="none" w:sz="0" w:space="0" w:color="auto"/>
        <w:left w:val="none" w:sz="0" w:space="0" w:color="auto"/>
        <w:bottom w:val="none" w:sz="0" w:space="0" w:color="auto"/>
        <w:right w:val="none" w:sz="0" w:space="0" w:color="auto"/>
      </w:divBdr>
    </w:div>
    <w:div w:id="953706643">
      <w:bodyDiv w:val="1"/>
      <w:marLeft w:val="0"/>
      <w:marRight w:val="0"/>
      <w:marTop w:val="0"/>
      <w:marBottom w:val="0"/>
      <w:divBdr>
        <w:top w:val="none" w:sz="0" w:space="0" w:color="auto"/>
        <w:left w:val="none" w:sz="0" w:space="0" w:color="auto"/>
        <w:bottom w:val="none" w:sz="0" w:space="0" w:color="auto"/>
        <w:right w:val="none" w:sz="0" w:space="0" w:color="auto"/>
      </w:divBdr>
    </w:div>
    <w:div w:id="1096827215">
      <w:bodyDiv w:val="1"/>
      <w:marLeft w:val="0"/>
      <w:marRight w:val="0"/>
      <w:marTop w:val="0"/>
      <w:marBottom w:val="0"/>
      <w:divBdr>
        <w:top w:val="none" w:sz="0" w:space="0" w:color="auto"/>
        <w:left w:val="none" w:sz="0" w:space="0" w:color="auto"/>
        <w:bottom w:val="none" w:sz="0" w:space="0" w:color="auto"/>
        <w:right w:val="none" w:sz="0" w:space="0" w:color="auto"/>
      </w:divBdr>
    </w:div>
    <w:div w:id="1130172402">
      <w:bodyDiv w:val="1"/>
      <w:marLeft w:val="0"/>
      <w:marRight w:val="0"/>
      <w:marTop w:val="0"/>
      <w:marBottom w:val="0"/>
      <w:divBdr>
        <w:top w:val="none" w:sz="0" w:space="0" w:color="auto"/>
        <w:left w:val="none" w:sz="0" w:space="0" w:color="auto"/>
        <w:bottom w:val="none" w:sz="0" w:space="0" w:color="auto"/>
        <w:right w:val="none" w:sz="0" w:space="0" w:color="auto"/>
      </w:divBdr>
    </w:div>
    <w:div w:id="1187402045">
      <w:bodyDiv w:val="1"/>
      <w:marLeft w:val="0"/>
      <w:marRight w:val="0"/>
      <w:marTop w:val="0"/>
      <w:marBottom w:val="0"/>
      <w:divBdr>
        <w:top w:val="none" w:sz="0" w:space="0" w:color="auto"/>
        <w:left w:val="none" w:sz="0" w:space="0" w:color="auto"/>
        <w:bottom w:val="none" w:sz="0" w:space="0" w:color="auto"/>
        <w:right w:val="none" w:sz="0" w:space="0" w:color="auto"/>
      </w:divBdr>
    </w:div>
    <w:div w:id="1226067316">
      <w:bodyDiv w:val="1"/>
      <w:marLeft w:val="0"/>
      <w:marRight w:val="0"/>
      <w:marTop w:val="0"/>
      <w:marBottom w:val="0"/>
      <w:divBdr>
        <w:top w:val="none" w:sz="0" w:space="0" w:color="auto"/>
        <w:left w:val="none" w:sz="0" w:space="0" w:color="auto"/>
        <w:bottom w:val="none" w:sz="0" w:space="0" w:color="auto"/>
        <w:right w:val="none" w:sz="0" w:space="0" w:color="auto"/>
      </w:divBdr>
    </w:div>
    <w:div w:id="1283074307">
      <w:bodyDiv w:val="1"/>
      <w:marLeft w:val="0"/>
      <w:marRight w:val="0"/>
      <w:marTop w:val="0"/>
      <w:marBottom w:val="0"/>
      <w:divBdr>
        <w:top w:val="none" w:sz="0" w:space="0" w:color="auto"/>
        <w:left w:val="none" w:sz="0" w:space="0" w:color="auto"/>
        <w:bottom w:val="none" w:sz="0" w:space="0" w:color="auto"/>
        <w:right w:val="none" w:sz="0" w:space="0" w:color="auto"/>
      </w:divBdr>
    </w:div>
    <w:div w:id="1379862702">
      <w:bodyDiv w:val="1"/>
      <w:marLeft w:val="0"/>
      <w:marRight w:val="0"/>
      <w:marTop w:val="0"/>
      <w:marBottom w:val="0"/>
      <w:divBdr>
        <w:top w:val="none" w:sz="0" w:space="0" w:color="auto"/>
        <w:left w:val="none" w:sz="0" w:space="0" w:color="auto"/>
        <w:bottom w:val="none" w:sz="0" w:space="0" w:color="auto"/>
        <w:right w:val="none" w:sz="0" w:space="0" w:color="auto"/>
      </w:divBdr>
    </w:div>
    <w:div w:id="1435512087">
      <w:bodyDiv w:val="1"/>
      <w:marLeft w:val="0"/>
      <w:marRight w:val="0"/>
      <w:marTop w:val="0"/>
      <w:marBottom w:val="0"/>
      <w:divBdr>
        <w:top w:val="none" w:sz="0" w:space="0" w:color="auto"/>
        <w:left w:val="none" w:sz="0" w:space="0" w:color="auto"/>
        <w:bottom w:val="none" w:sz="0" w:space="0" w:color="auto"/>
        <w:right w:val="none" w:sz="0" w:space="0" w:color="auto"/>
      </w:divBdr>
    </w:div>
    <w:div w:id="1537621697">
      <w:bodyDiv w:val="1"/>
      <w:marLeft w:val="0"/>
      <w:marRight w:val="0"/>
      <w:marTop w:val="0"/>
      <w:marBottom w:val="0"/>
      <w:divBdr>
        <w:top w:val="none" w:sz="0" w:space="0" w:color="auto"/>
        <w:left w:val="none" w:sz="0" w:space="0" w:color="auto"/>
        <w:bottom w:val="none" w:sz="0" w:space="0" w:color="auto"/>
        <w:right w:val="none" w:sz="0" w:space="0" w:color="auto"/>
      </w:divBdr>
    </w:div>
    <w:div w:id="1586106693">
      <w:bodyDiv w:val="1"/>
      <w:marLeft w:val="0"/>
      <w:marRight w:val="0"/>
      <w:marTop w:val="0"/>
      <w:marBottom w:val="0"/>
      <w:divBdr>
        <w:top w:val="none" w:sz="0" w:space="0" w:color="auto"/>
        <w:left w:val="none" w:sz="0" w:space="0" w:color="auto"/>
        <w:bottom w:val="none" w:sz="0" w:space="0" w:color="auto"/>
        <w:right w:val="none" w:sz="0" w:space="0" w:color="auto"/>
      </w:divBdr>
    </w:div>
    <w:div w:id="1631474750">
      <w:bodyDiv w:val="1"/>
      <w:marLeft w:val="0"/>
      <w:marRight w:val="0"/>
      <w:marTop w:val="0"/>
      <w:marBottom w:val="0"/>
      <w:divBdr>
        <w:top w:val="none" w:sz="0" w:space="0" w:color="auto"/>
        <w:left w:val="none" w:sz="0" w:space="0" w:color="auto"/>
        <w:bottom w:val="none" w:sz="0" w:space="0" w:color="auto"/>
        <w:right w:val="none" w:sz="0" w:space="0" w:color="auto"/>
      </w:divBdr>
    </w:div>
    <w:div w:id="1755663885">
      <w:bodyDiv w:val="1"/>
      <w:marLeft w:val="0"/>
      <w:marRight w:val="0"/>
      <w:marTop w:val="0"/>
      <w:marBottom w:val="0"/>
      <w:divBdr>
        <w:top w:val="none" w:sz="0" w:space="0" w:color="auto"/>
        <w:left w:val="none" w:sz="0" w:space="0" w:color="auto"/>
        <w:bottom w:val="none" w:sz="0" w:space="0" w:color="auto"/>
        <w:right w:val="none" w:sz="0" w:space="0" w:color="auto"/>
      </w:divBdr>
    </w:div>
    <w:div w:id="1851604125">
      <w:bodyDiv w:val="1"/>
      <w:marLeft w:val="0"/>
      <w:marRight w:val="0"/>
      <w:marTop w:val="0"/>
      <w:marBottom w:val="0"/>
      <w:divBdr>
        <w:top w:val="none" w:sz="0" w:space="0" w:color="auto"/>
        <w:left w:val="none" w:sz="0" w:space="0" w:color="auto"/>
        <w:bottom w:val="none" w:sz="0" w:space="0" w:color="auto"/>
        <w:right w:val="none" w:sz="0" w:space="0" w:color="auto"/>
      </w:divBdr>
    </w:div>
    <w:div w:id="1896578230">
      <w:bodyDiv w:val="1"/>
      <w:marLeft w:val="0"/>
      <w:marRight w:val="0"/>
      <w:marTop w:val="0"/>
      <w:marBottom w:val="0"/>
      <w:divBdr>
        <w:top w:val="none" w:sz="0" w:space="0" w:color="auto"/>
        <w:left w:val="none" w:sz="0" w:space="0" w:color="auto"/>
        <w:bottom w:val="none" w:sz="0" w:space="0" w:color="auto"/>
        <w:right w:val="none" w:sz="0" w:space="0" w:color="auto"/>
      </w:divBdr>
    </w:div>
    <w:div w:id="1907261144">
      <w:bodyDiv w:val="1"/>
      <w:marLeft w:val="0"/>
      <w:marRight w:val="0"/>
      <w:marTop w:val="0"/>
      <w:marBottom w:val="0"/>
      <w:divBdr>
        <w:top w:val="none" w:sz="0" w:space="0" w:color="auto"/>
        <w:left w:val="none" w:sz="0" w:space="0" w:color="auto"/>
        <w:bottom w:val="none" w:sz="0" w:space="0" w:color="auto"/>
        <w:right w:val="none" w:sz="0" w:space="0" w:color="auto"/>
      </w:divBdr>
    </w:div>
    <w:div w:id="1931698788">
      <w:bodyDiv w:val="1"/>
      <w:marLeft w:val="0"/>
      <w:marRight w:val="0"/>
      <w:marTop w:val="0"/>
      <w:marBottom w:val="0"/>
      <w:divBdr>
        <w:top w:val="none" w:sz="0" w:space="0" w:color="auto"/>
        <w:left w:val="none" w:sz="0" w:space="0" w:color="auto"/>
        <w:bottom w:val="none" w:sz="0" w:space="0" w:color="auto"/>
        <w:right w:val="none" w:sz="0" w:space="0" w:color="auto"/>
      </w:divBdr>
    </w:div>
    <w:div w:id="2026665746">
      <w:bodyDiv w:val="1"/>
      <w:marLeft w:val="0"/>
      <w:marRight w:val="0"/>
      <w:marTop w:val="0"/>
      <w:marBottom w:val="0"/>
      <w:divBdr>
        <w:top w:val="none" w:sz="0" w:space="0" w:color="auto"/>
        <w:left w:val="none" w:sz="0" w:space="0" w:color="auto"/>
        <w:bottom w:val="none" w:sz="0" w:space="0" w:color="auto"/>
        <w:right w:val="none" w:sz="0" w:space="0" w:color="auto"/>
      </w:divBdr>
    </w:div>
    <w:div w:id="211866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x.doi.org/10.1787/5js319256pvf-en" TargetMode="External"/><Relationship Id="rId18" Type="http://schemas.openxmlformats.org/officeDocument/2006/relationships/hyperlink" Target="http://dx.doi.org/10.1787/sti_outlook-2014-graph30-en" TargetMode="External"/><Relationship Id="rId26" Type="http://schemas.openxmlformats.org/officeDocument/2006/relationships/hyperlink" Target="http://www.oecd.org/investment/stats/37461060.pdf" TargetMode="External"/><Relationship Id="rId3" Type="http://schemas.openxmlformats.org/officeDocument/2006/relationships/styles" Target="styles.xml"/><Relationship Id="rId21" Type="http://schemas.openxmlformats.org/officeDocument/2006/relationships/hyperlink" Target="http://dx.doi.org/10.1787/empl_outlook-2014-6-en" TargetMode="External"/><Relationship Id="rId7" Type="http://schemas.openxmlformats.org/officeDocument/2006/relationships/footnotes" Target="footnotes.xml"/><Relationship Id="rId12" Type="http://schemas.openxmlformats.org/officeDocument/2006/relationships/hyperlink" Target="http://www.oecd.org/sti/frascatimanual" TargetMode="External"/><Relationship Id="rId17" Type="http://schemas.openxmlformats.org/officeDocument/2006/relationships/hyperlink" Target="http://www.oecd.org/sti/rds" TargetMode="External"/><Relationship Id="rId25" Type="http://schemas.openxmlformats.org/officeDocument/2006/relationships/hyperlink" Target="http://www.oecd.org/dac/aft/aid-for-tradestatisticalqueries.ht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icyt.org/" TargetMode="External"/><Relationship Id="rId20" Type="http://schemas.openxmlformats.org/officeDocument/2006/relationships/hyperlink" Target="http://dx.doi.org/10.1787/9789264201392-e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sti/rds" TargetMode="External"/><Relationship Id="rId24" Type="http://schemas.openxmlformats.org/officeDocument/2006/relationships/hyperlink" Target="http://www.oecd.org/dac/aft/aid-for-tradestatisticalqueries.ht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data.uis.unesco.org/Index.aspx?queryid=115" TargetMode="External"/><Relationship Id="rId23" Type="http://schemas.openxmlformats.org/officeDocument/2006/relationships/hyperlink" Target="http://www.oecd.org/dac/dac-glossary.htm" TargetMode="External"/><Relationship Id="rId28" Type="http://schemas.openxmlformats.org/officeDocument/2006/relationships/hyperlink" Target="http://www.oecd.org/dac/aft/aid-for-tradestatisticalqueries.htm" TargetMode="External"/><Relationship Id="rId10" Type="http://schemas.openxmlformats.org/officeDocument/2006/relationships/hyperlink" Target="http://data.uis.unesco.org/Index.aspx?queryid=115" TargetMode="External"/><Relationship Id="rId19" Type="http://schemas.openxmlformats.org/officeDocument/2006/relationships/hyperlink" Target="http://www.oecd.org/tax/tax-policy/taxingenergyuse.htm"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oecd.org/sti/msti.htm" TargetMode="External"/><Relationship Id="rId14" Type="http://schemas.openxmlformats.org/officeDocument/2006/relationships/hyperlink" Target="http://www.oecd.org/sti/msti.htm" TargetMode="External"/><Relationship Id="rId22" Type="http://schemas.openxmlformats.org/officeDocument/2006/relationships/hyperlink" Target="http://stats.oecd.org/Index.aspx?DataSetCode=JOBQ_I" TargetMode="External"/><Relationship Id="rId27" Type="http://schemas.openxmlformats.org/officeDocument/2006/relationships/hyperlink" Target="http://www.oecd.org/dac/aft/aid-for-tradestatisticalqueries.htm"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ats.oecd.org/Index.aspx?DataSetCode=JOBQ_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020A6343-802F-4A6A-9E36-B21C571B1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4532</Words>
  <Characters>25838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30310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2015-05-20T16:23:00Z</dcterms:created>
  <dcterms:modified xsi:type="dcterms:W3CDTF">2015-05-20T16:23:00Z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